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87865" w14:textId="1FE8F18B" w:rsidR="00F42753" w:rsidRPr="006B670C" w:rsidRDefault="00F42753">
      <w:pPr>
        <w:rPr>
          <w:rFonts w:asciiTheme="minorEastAsia" w:hAnsiTheme="minorEastAsia"/>
        </w:rPr>
      </w:pPr>
      <w:r w:rsidRPr="006B670C">
        <w:rPr>
          <w:rFonts w:asciiTheme="minorEastAsia" w:hAnsiTheme="minorEastAsia" w:hint="eastAsia"/>
        </w:rPr>
        <w:t>项目概况：</w:t>
      </w:r>
    </w:p>
    <w:p w14:paraId="4813FC6E" w14:textId="45C3E903" w:rsidR="00F42753" w:rsidRPr="006B670C" w:rsidRDefault="00F42753" w:rsidP="00F42753">
      <w:pPr>
        <w:ind w:firstLine="360"/>
        <w:rPr>
          <w:rFonts w:asciiTheme="minorEastAsia" w:hAnsiTheme="minorEastAsia"/>
        </w:rPr>
      </w:pPr>
      <w:r w:rsidRPr="006B670C">
        <w:rPr>
          <w:rFonts w:asciiTheme="minorEastAsia" w:hAnsiTheme="minorEastAsia" w:hint="eastAsia"/>
        </w:rPr>
        <w:t>本项目对科研楼实验室部分酸碱化学品</w:t>
      </w:r>
      <w:proofErr w:type="gramStart"/>
      <w:r w:rsidRPr="006B670C">
        <w:rPr>
          <w:rFonts w:asciiTheme="minorEastAsia" w:hAnsiTheme="minorEastAsia" w:hint="eastAsia"/>
        </w:rPr>
        <w:t>柜进行</w:t>
      </w:r>
      <w:proofErr w:type="gramEnd"/>
      <w:r w:rsidRPr="006B670C">
        <w:rPr>
          <w:rFonts w:asciiTheme="minorEastAsia" w:hAnsiTheme="minorEastAsia" w:hint="eastAsia"/>
        </w:rPr>
        <w:t>整改，包括安装新的化学品，以及对通风柜下柜进行整改，以满足实验室酸碱类化学品的储存需求。项目要求投标人需要根据现场实际安装位置及安装尺寸进行柜体设计，并安装相关的排风系统。使用材料需符合耐酸碱检测。预算为99400元人民币，报价需包含完成本项目</w:t>
      </w:r>
      <w:r w:rsidR="00FE7BBD" w:rsidRPr="006B670C">
        <w:rPr>
          <w:rFonts w:asciiTheme="minorEastAsia" w:hAnsiTheme="minorEastAsia" w:hint="eastAsia"/>
        </w:rPr>
        <w:t>至验收合格</w:t>
      </w:r>
      <w:r w:rsidRPr="006B670C">
        <w:rPr>
          <w:rFonts w:asciiTheme="minorEastAsia" w:hAnsiTheme="minorEastAsia" w:hint="eastAsia"/>
        </w:rPr>
        <w:t>的所有费用</w:t>
      </w:r>
      <w:r w:rsidR="00FE7BBD" w:rsidRPr="006B670C">
        <w:rPr>
          <w:rFonts w:asciiTheme="minorEastAsia" w:hAnsiTheme="minorEastAsia" w:hint="eastAsia"/>
        </w:rPr>
        <w:t>，超过预算的报价视为无效投标。</w:t>
      </w:r>
    </w:p>
    <w:p w14:paraId="231CAF77" w14:textId="77777777" w:rsidR="00F42753" w:rsidRPr="006B670C" w:rsidRDefault="00F42753">
      <w:pPr>
        <w:rPr>
          <w:rFonts w:asciiTheme="minorEastAsia" w:hAnsiTheme="minorEastAsia"/>
        </w:rPr>
      </w:pPr>
    </w:p>
    <w:p w14:paraId="32669371" w14:textId="788D541F" w:rsidR="00B62B6A" w:rsidRPr="006B670C" w:rsidRDefault="00A009CB">
      <w:pPr>
        <w:rPr>
          <w:rFonts w:asciiTheme="minorEastAsia" w:hAnsiTheme="minorEastAsia"/>
        </w:rPr>
      </w:pPr>
      <w:r w:rsidRPr="006B670C">
        <w:rPr>
          <w:rFonts w:asciiTheme="minorEastAsia" w:hAnsiTheme="minorEastAsia" w:hint="eastAsia"/>
        </w:rPr>
        <w:t>投标人</w:t>
      </w:r>
      <w:r w:rsidR="00A65971" w:rsidRPr="006B670C">
        <w:rPr>
          <w:rFonts w:asciiTheme="minorEastAsia" w:hAnsiTheme="minorEastAsia" w:hint="eastAsia"/>
        </w:rPr>
        <w:t>需知：</w:t>
      </w:r>
    </w:p>
    <w:p w14:paraId="7717950C" w14:textId="3700E300" w:rsidR="00390F2A" w:rsidRPr="006B670C" w:rsidRDefault="00A009CB" w:rsidP="00390F2A">
      <w:pPr>
        <w:pStyle w:val="ListParagraph"/>
        <w:numPr>
          <w:ilvl w:val="0"/>
          <w:numId w:val="1"/>
        </w:numPr>
        <w:rPr>
          <w:rFonts w:asciiTheme="minorEastAsia" w:hAnsiTheme="minorEastAsia"/>
        </w:rPr>
      </w:pPr>
      <w:r w:rsidRPr="006B670C">
        <w:rPr>
          <w:rFonts w:asciiTheme="minorEastAsia" w:hAnsiTheme="minorEastAsia" w:hint="eastAsia"/>
        </w:rPr>
        <w:t>投标人</w:t>
      </w:r>
      <w:r w:rsidR="00390F2A" w:rsidRPr="006B670C">
        <w:rPr>
          <w:rFonts w:asciiTheme="minorEastAsia" w:hAnsiTheme="minorEastAsia" w:hint="eastAsia"/>
        </w:rPr>
        <w:t>需参考</w:t>
      </w:r>
      <w:r w:rsidR="007517E9" w:rsidRPr="006B670C">
        <w:rPr>
          <w:rFonts w:asciiTheme="minorEastAsia" w:hAnsiTheme="minorEastAsia" w:hint="eastAsia"/>
        </w:rPr>
        <w:t>附件工程量清单</w:t>
      </w:r>
      <w:r w:rsidR="00390F2A" w:rsidRPr="006B670C">
        <w:rPr>
          <w:rFonts w:asciiTheme="minorEastAsia" w:hAnsiTheme="minorEastAsia" w:hint="eastAsia"/>
        </w:rPr>
        <w:t>，以及现场实际勘察提供相关施工方案</w:t>
      </w:r>
      <w:r w:rsidR="00F24E90" w:rsidRPr="006B670C">
        <w:rPr>
          <w:rFonts w:asciiTheme="minorEastAsia" w:hAnsiTheme="minorEastAsia" w:hint="eastAsia"/>
        </w:rPr>
        <w:t>并</w:t>
      </w:r>
      <w:r w:rsidR="00D7482B" w:rsidRPr="006B670C">
        <w:rPr>
          <w:rFonts w:asciiTheme="minorEastAsia" w:hAnsiTheme="minorEastAsia" w:hint="eastAsia"/>
        </w:rPr>
        <w:t>进行</w:t>
      </w:r>
      <w:r w:rsidR="00390F2A" w:rsidRPr="006B670C">
        <w:rPr>
          <w:rFonts w:asciiTheme="minorEastAsia" w:hAnsiTheme="minorEastAsia" w:hint="eastAsia"/>
        </w:rPr>
        <w:t>报价。</w:t>
      </w:r>
    </w:p>
    <w:p w14:paraId="64865976" w14:textId="2A3F1F14" w:rsidR="00390F2A" w:rsidRPr="006B670C" w:rsidRDefault="007517E9" w:rsidP="00390F2A">
      <w:pPr>
        <w:pStyle w:val="ListParagraph"/>
        <w:numPr>
          <w:ilvl w:val="0"/>
          <w:numId w:val="1"/>
        </w:numPr>
        <w:rPr>
          <w:rFonts w:asciiTheme="minorEastAsia" w:hAnsiTheme="minorEastAsia"/>
          <w:b/>
        </w:rPr>
      </w:pPr>
      <w:r w:rsidRPr="006B670C">
        <w:rPr>
          <w:rFonts w:asciiTheme="minorEastAsia" w:hAnsiTheme="minorEastAsia"/>
          <w:b/>
          <w:lang w:val="en-US"/>
        </w:rPr>
        <w:t>*</w:t>
      </w:r>
      <w:r w:rsidR="00390F2A" w:rsidRPr="006B670C">
        <w:rPr>
          <w:rFonts w:asciiTheme="minorEastAsia" w:hAnsiTheme="minorEastAsia" w:hint="eastAsia"/>
          <w:b/>
        </w:rPr>
        <w:t>化学品柜需要提供</w:t>
      </w:r>
      <w:r w:rsidR="00390F2A" w:rsidRPr="006B670C">
        <w:rPr>
          <w:rFonts w:asciiTheme="minorEastAsia" w:hAnsiTheme="minorEastAsia"/>
          <w:b/>
        </w:rPr>
        <w:t>PP</w:t>
      </w:r>
      <w:r w:rsidR="00390F2A" w:rsidRPr="006B670C">
        <w:rPr>
          <w:rFonts w:asciiTheme="minorEastAsia" w:hAnsiTheme="minorEastAsia" w:hint="eastAsia"/>
          <w:b/>
        </w:rPr>
        <w:t>材料耐化学试剂检测报告及省级以上第三方提供的监测报告。</w:t>
      </w:r>
    </w:p>
    <w:p w14:paraId="2EB8F15B" w14:textId="6C6B7BDD" w:rsidR="00390F2A" w:rsidRPr="006B670C" w:rsidRDefault="00564A4D" w:rsidP="00390F2A">
      <w:pPr>
        <w:pStyle w:val="ListParagraph"/>
        <w:numPr>
          <w:ilvl w:val="0"/>
          <w:numId w:val="1"/>
        </w:numPr>
        <w:rPr>
          <w:rFonts w:asciiTheme="minorEastAsia" w:hAnsiTheme="minorEastAsia"/>
        </w:rPr>
      </w:pPr>
      <w:r w:rsidRPr="006B670C">
        <w:rPr>
          <w:rFonts w:asciiTheme="minorEastAsia" w:hAnsiTheme="minorEastAsia" w:hint="eastAsia"/>
        </w:rPr>
        <w:t>定制产品需要根据现场勘察后提供化学品</w:t>
      </w:r>
      <w:proofErr w:type="gramStart"/>
      <w:r w:rsidRPr="006B670C">
        <w:rPr>
          <w:rFonts w:asciiTheme="minorEastAsia" w:hAnsiTheme="minorEastAsia" w:hint="eastAsia"/>
        </w:rPr>
        <w:t>柜产品</w:t>
      </w:r>
      <w:proofErr w:type="gramEnd"/>
      <w:r w:rsidRPr="006B670C">
        <w:rPr>
          <w:rFonts w:asciiTheme="minorEastAsia" w:hAnsiTheme="minorEastAsia" w:hint="eastAsia"/>
        </w:rPr>
        <w:t>设计图及相关说明。</w:t>
      </w:r>
    </w:p>
    <w:p w14:paraId="727BAFD0" w14:textId="381135A4" w:rsidR="005068D5" w:rsidRPr="006B670C" w:rsidRDefault="007517E9" w:rsidP="00390F2A">
      <w:pPr>
        <w:pStyle w:val="ListParagraph"/>
        <w:numPr>
          <w:ilvl w:val="0"/>
          <w:numId w:val="1"/>
        </w:numPr>
        <w:rPr>
          <w:rFonts w:asciiTheme="minorEastAsia" w:hAnsiTheme="minorEastAsia"/>
        </w:rPr>
      </w:pPr>
      <w:r w:rsidRPr="006B670C">
        <w:rPr>
          <w:rFonts w:asciiTheme="minorEastAsia" w:hAnsiTheme="minorEastAsia" w:hint="eastAsia"/>
          <w:lang w:val="en-US"/>
        </w:rPr>
        <w:t>投标人</w:t>
      </w:r>
      <w:r w:rsidR="005068D5" w:rsidRPr="006B670C">
        <w:rPr>
          <w:rFonts w:asciiTheme="minorEastAsia" w:hAnsiTheme="minorEastAsia" w:hint="eastAsia"/>
        </w:rPr>
        <w:t>需在签订合同后3</w:t>
      </w:r>
      <w:r w:rsidR="005068D5" w:rsidRPr="006B670C">
        <w:rPr>
          <w:rFonts w:asciiTheme="minorEastAsia" w:hAnsiTheme="minorEastAsia"/>
        </w:rPr>
        <w:t>0</w:t>
      </w:r>
      <w:r w:rsidR="005068D5" w:rsidRPr="006B670C">
        <w:rPr>
          <w:rFonts w:asciiTheme="minorEastAsia" w:hAnsiTheme="minorEastAsia" w:hint="eastAsia"/>
        </w:rPr>
        <w:t>天内完成项目。</w:t>
      </w:r>
    </w:p>
    <w:p w14:paraId="17CD42C9" w14:textId="4D740F9D" w:rsidR="00282E5F" w:rsidRPr="006B670C" w:rsidRDefault="00282E5F" w:rsidP="00390F2A">
      <w:pPr>
        <w:pStyle w:val="ListParagraph"/>
        <w:numPr>
          <w:ilvl w:val="0"/>
          <w:numId w:val="1"/>
        </w:numPr>
        <w:rPr>
          <w:rFonts w:asciiTheme="minorEastAsia" w:hAnsiTheme="minorEastAsia"/>
        </w:rPr>
      </w:pPr>
      <w:r w:rsidRPr="006B670C">
        <w:rPr>
          <w:rFonts w:asciiTheme="minorEastAsia" w:hAnsiTheme="minorEastAsia" w:hint="eastAsia"/>
          <w:lang w:val="en-US"/>
        </w:rPr>
        <w:t>质保期至少为</w:t>
      </w:r>
      <w:r w:rsidRPr="006B670C">
        <w:rPr>
          <w:rFonts w:asciiTheme="minorEastAsia" w:hAnsiTheme="minorEastAsia" w:hint="eastAsia"/>
        </w:rPr>
        <w:t>2年</w:t>
      </w:r>
      <w:r w:rsidR="00FE7BBD" w:rsidRPr="006B670C">
        <w:rPr>
          <w:rFonts w:asciiTheme="minorEastAsia" w:hAnsiTheme="minorEastAsia" w:hint="eastAsia"/>
        </w:rPr>
        <w:t>，</w:t>
      </w:r>
      <w:proofErr w:type="gramStart"/>
      <w:r w:rsidR="00FE7BBD" w:rsidRPr="006B670C">
        <w:rPr>
          <w:rFonts w:asciiTheme="minorEastAsia" w:hAnsiTheme="minorEastAsia" w:hint="eastAsia"/>
        </w:rPr>
        <w:t>自项目</w:t>
      </w:r>
      <w:proofErr w:type="gramEnd"/>
      <w:r w:rsidR="00FE7BBD" w:rsidRPr="006B670C">
        <w:rPr>
          <w:rFonts w:asciiTheme="minorEastAsia" w:hAnsiTheme="minorEastAsia" w:hint="eastAsia"/>
        </w:rPr>
        <w:t>验收合格起算</w:t>
      </w:r>
      <w:r w:rsidRPr="006B670C">
        <w:rPr>
          <w:rFonts w:asciiTheme="minorEastAsia" w:hAnsiTheme="minorEastAsia" w:hint="eastAsia"/>
        </w:rPr>
        <w:t>。</w:t>
      </w:r>
    </w:p>
    <w:p w14:paraId="3783B6D7" w14:textId="13BCF1C0" w:rsidR="00564A4D" w:rsidRPr="006B670C" w:rsidRDefault="00564A4D" w:rsidP="005068D5">
      <w:pPr>
        <w:pStyle w:val="ListParagraph"/>
        <w:rPr>
          <w:rFonts w:asciiTheme="minorEastAsia" w:hAnsiTheme="minorEastAsia"/>
        </w:rPr>
      </w:pPr>
    </w:p>
    <w:p w14:paraId="1C8805EF" w14:textId="0743A8BA" w:rsidR="00887535" w:rsidRPr="006B670C" w:rsidRDefault="00887535" w:rsidP="00887535">
      <w:pPr>
        <w:pStyle w:val="Heading2"/>
        <w:rPr>
          <w:rFonts w:asciiTheme="minorEastAsia" w:eastAsiaTheme="minorEastAsia" w:hAnsiTheme="minorEastAsia" w:cstheme="minorBidi"/>
          <w:color w:val="auto"/>
          <w:sz w:val="22"/>
          <w:szCs w:val="22"/>
          <w:lang w:bidi="ar-SA"/>
        </w:rPr>
      </w:pPr>
      <w:r w:rsidRPr="006B670C">
        <w:rPr>
          <w:rFonts w:asciiTheme="minorEastAsia" w:eastAsiaTheme="minorEastAsia" w:hAnsiTheme="minorEastAsia" w:cstheme="minorBidi" w:hint="eastAsia"/>
          <w:color w:val="auto"/>
          <w:sz w:val="22"/>
          <w:szCs w:val="22"/>
          <w:lang w:bidi="ar-SA"/>
        </w:rPr>
        <w:t>评分</w:t>
      </w:r>
      <w:r w:rsidR="00FE7BBD" w:rsidRPr="006B670C">
        <w:rPr>
          <w:rFonts w:asciiTheme="minorEastAsia" w:eastAsiaTheme="minorEastAsia" w:hAnsiTheme="minorEastAsia" w:cstheme="minorBidi" w:hint="eastAsia"/>
          <w:color w:val="auto"/>
          <w:sz w:val="22"/>
          <w:szCs w:val="22"/>
          <w:lang w:bidi="ar-SA"/>
        </w:rPr>
        <w:t>：</w:t>
      </w:r>
    </w:p>
    <w:p w14:paraId="3A3A4BD6" w14:textId="0232DE1D" w:rsidR="007213BC" w:rsidRPr="006B670C" w:rsidRDefault="007213BC" w:rsidP="007213BC">
      <w:pPr>
        <w:rPr>
          <w:rFonts w:asciiTheme="minorEastAsia" w:hAnsiTheme="minorEastAsia" w:cs="Arial"/>
          <w:bCs/>
        </w:rPr>
      </w:pPr>
      <w:r w:rsidRPr="006B670C">
        <w:rPr>
          <w:rFonts w:asciiTheme="minorEastAsia" w:hAnsiTheme="minorEastAsia" w:hint="eastAsia"/>
        </w:rPr>
        <w:t>本项目采用综合评分法</w:t>
      </w:r>
      <w:r w:rsidRPr="006B670C">
        <w:rPr>
          <w:rFonts w:asciiTheme="minorEastAsia" w:hAnsiTheme="minorEastAsia" w:cs="Arial" w:hint="eastAsia"/>
          <w:bCs/>
        </w:rPr>
        <w:t>，满分为</w:t>
      </w:r>
      <w:r w:rsidRPr="006B670C">
        <w:rPr>
          <w:rFonts w:asciiTheme="minorEastAsia" w:hAnsiTheme="minorEastAsia" w:cs="Arial"/>
          <w:bCs/>
        </w:rPr>
        <w:t>100</w:t>
      </w:r>
      <w:r w:rsidRPr="006B670C">
        <w:rPr>
          <w:rFonts w:asciiTheme="minorEastAsia" w:hAnsiTheme="minorEastAsia" w:cs="Arial" w:hint="eastAsia"/>
          <w:bCs/>
        </w:rPr>
        <w:t>分（技术商务得分70分+价格得分30分）。</w:t>
      </w:r>
    </w:p>
    <w:p w14:paraId="747FAEB6" w14:textId="77777777" w:rsidR="00FE7BBD" w:rsidRPr="006B670C" w:rsidRDefault="00FE7BBD" w:rsidP="007213BC">
      <w:pPr>
        <w:rPr>
          <w:rFonts w:asciiTheme="minorEastAsia" w:hAnsiTheme="minorEastAsia" w:cs="Arial"/>
          <w:b/>
          <w:bCs/>
        </w:rPr>
      </w:pPr>
    </w:p>
    <w:p w14:paraId="147B944D" w14:textId="77777777" w:rsidR="00FE7BBD" w:rsidRPr="006B670C" w:rsidRDefault="00FE7BBD" w:rsidP="00FE7BBD">
      <w:pPr>
        <w:rPr>
          <w:rFonts w:asciiTheme="minorEastAsia" w:hAnsiTheme="minorEastAsia"/>
        </w:rPr>
      </w:pPr>
      <w:r w:rsidRPr="006B670C">
        <w:rPr>
          <w:rFonts w:asciiTheme="minorEastAsia" w:hAnsiTheme="minorEastAsia" w:hint="eastAsia"/>
        </w:rPr>
        <w:t>价格评审满分为</w:t>
      </w:r>
      <w:r w:rsidRPr="006B670C">
        <w:rPr>
          <w:rFonts w:asciiTheme="minorEastAsia" w:hAnsiTheme="minorEastAsia" w:hint="eastAsia"/>
          <w:b/>
        </w:rPr>
        <w:t>30分</w:t>
      </w:r>
      <w:r w:rsidRPr="006B670C">
        <w:rPr>
          <w:rFonts w:asciiTheme="minorEastAsia" w:hAnsiTheme="minorEastAsia" w:hint="eastAsia"/>
        </w:rPr>
        <w:t>，为客观计算得分。</w:t>
      </w:r>
    </w:p>
    <w:p w14:paraId="63F50891" w14:textId="77777777" w:rsidR="00FE7BBD" w:rsidRPr="006B670C" w:rsidRDefault="00FE7BBD" w:rsidP="00FE7BBD">
      <w:pPr>
        <w:rPr>
          <w:rFonts w:asciiTheme="minorEastAsia" w:hAnsiTheme="minorEastAsia"/>
        </w:rPr>
      </w:pPr>
      <w:r w:rsidRPr="006B670C">
        <w:rPr>
          <w:rFonts w:asciiTheme="minorEastAsia" w:hAnsiTheme="minorEastAsia" w:hint="eastAsia"/>
        </w:rPr>
        <w:t>以投标总价作为评审的依据，若单价乘以数量得到的总价与投标总价不一致，以单价为准修改总价；金额的中文大写与阿拉伯数字不一致时，以中文大写为准。投标人价格得分评分方法如下：</w:t>
      </w:r>
    </w:p>
    <w:p w14:paraId="4A567E2A" w14:textId="77777777" w:rsidR="00FE7BBD" w:rsidRPr="006B670C" w:rsidRDefault="00FE7BBD" w:rsidP="00FE7BBD">
      <w:pPr>
        <w:rPr>
          <w:rFonts w:asciiTheme="minorEastAsia" w:hAnsiTheme="minorEastAsia"/>
        </w:rPr>
      </w:pPr>
      <w:r w:rsidRPr="006B670C">
        <w:rPr>
          <w:rFonts w:asciiTheme="minorEastAsia" w:hAnsiTheme="minorEastAsia" w:hint="eastAsia"/>
        </w:rPr>
        <w:t>1)评标基准价＝实质性响应招标文件要求的投标中的最低投标总价</w:t>
      </w:r>
    </w:p>
    <w:p w14:paraId="2DF37048" w14:textId="7FA66C1D" w:rsidR="00FE7BBD" w:rsidRPr="006B670C" w:rsidRDefault="00FE7BBD" w:rsidP="00FE7BBD">
      <w:pPr>
        <w:rPr>
          <w:rFonts w:asciiTheme="minorEastAsia" w:hAnsiTheme="minorEastAsia"/>
        </w:rPr>
      </w:pPr>
      <w:r w:rsidRPr="006B670C">
        <w:rPr>
          <w:rFonts w:asciiTheme="minorEastAsia" w:hAnsiTheme="minorEastAsia" w:hint="eastAsia"/>
        </w:rPr>
        <w:t>2)投标人价格得分＝评标基准价/投标总价×满分</w:t>
      </w:r>
    </w:p>
    <w:p w14:paraId="2E8E9CE8" w14:textId="30263A3D" w:rsidR="00FE7BBD" w:rsidRPr="006B670C" w:rsidRDefault="00FE7BBD" w:rsidP="00FE7BBD">
      <w:pPr>
        <w:rPr>
          <w:rFonts w:asciiTheme="minorEastAsia" w:hAnsiTheme="minorEastAsia"/>
        </w:rPr>
      </w:pPr>
    </w:p>
    <w:p w14:paraId="4594F45A" w14:textId="27F6295E" w:rsidR="00FE7BBD" w:rsidRPr="006B670C" w:rsidRDefault="00FE7BBD" w:rsidP="006B670C">
      <w:pPr>
        <w:rPr>
          <w:rFonts w:asciiTheme="minorEastAsia" w:hAnsiTheme="minorEastAsia"/>
        </w:rPr>
      </w:pPr>
      <w:r w:rsidRPr="006B670C">
        <w:rPr>
          <w:rFonts w:asciiTheme="minorEastAsia" w:hAnsiTheme="minorEastAsia" w:hint="eastAsia"/>
        </w:rPr>
        <w:t>技术商务评审满分为</w:t>
      </w:r>
      <w:r w:rsidRPr="006B670C">
        <w:rPr>
          <w:rFonts w:asciiTheme="minorEastAsia" w:hAnsiTheme="minorEastAsia" w:cs="Arial" w:hint="eastAsia"/>
          <w:b/>
          <w:bCs/>
        </w:rPr>
        <w:t>70分</w:t>
      </w:r>
      <w:r w:rsidRPr="006B670C">
        <w:rPr>
          <w:rFonts w:asciiTheme="minorEastAsia" w:hAnsiTheme="minorEastAsia" w:cs="Arial" w:hint="eastAsia"/>
          <w:bCs/>
        </w:rPr>
        <w:t>，评分标准如下表：</w:t>
      </w:r>
    </w:p>
    <w:tbl>
      <w:tblPr>
        <w:tblpPr w:leftFromText="180" w:rightFromText="180" w:vertAnchor="text" w:horzAnchor="margin" w:tblpXSpec="center" w:tblpY="2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81"/>
        <w:gridCol w:w="6683"/>
        <w:gridCol w:w="709"/>
      </w:tblGrid>
      <w:tr w:rsidR="00887535" w:rsidRPr="006B670C" w14:paraId="2CBDDA1C" w14:textId="77777777" w:rsidTr="005374F3">
        <w:trPr>
          <w:cantSplit/>
          <w:trHeight w:val="655"/>
          <w:tblHeader/>
        </w:trPr>
        <w:tc>
          <w:tcPr>
            <w:tcW w:w="878" w:type="dxa"/>
            <w:vAlign w:val="center"/>
          </w:tcPr>
          <w:p w14:paraId="295865DC" w14:textId="77777777" w:rsidR="00887535" w:rsidRPr="006B670C" w:rsidRDefault="00887535" w:rsidP="005374F3">
            <w:pPr>
              <w:jc w:val="center"/>
              <w:rPr>
                <w:rFonts w:asciiTheme="minorEastAsia" w:hAnsiTheme="minorEastAsia" w:cs="Arial"/>
                <w:b/>
                <w:bCs/>
              </w:rPr>
            </w:pPr>
            <w:r w:rsidRPr="006B670C">
              <w:rPr>
                <w:rFonts w:asciiTheme="minorEastAsia" w:hAnsiTheme="minorEastAsia" w:cs="Arial" w:hint="eastAsia"/>
                <w:b/>
                <w:bCs/>
              </w:rPr>
              <w:t>序号</w:t>
            </w:r>
          </w:p>
        </w:tc>
        <w:tc>
          <w:tcPr>
            <w:tcW w:w="1081" w:type="dxa"/>
            <w:vAlign w:val="center"/>
          </w:tcPr>
          <w:p w14:paraId="3F488010" w14:textId="77777777" w:rsidR="00887535" w:rsidRPr="006B670C" w:rsidRDefault="00887535" w:rsidP="005374F3">
            <w:pPr>
              <w:jc w:val="center"/>
              <w:rPr>
                <w:rFonts w:asciiTheme="minorEastAsia" w:hAnsiTheme="minorEastAsia" w:cs="Arial"/>
                <w:b/>
                <w:bCs/>
              </w:rPr>
            </w:pPr>
            <w:r w:rsidRPr="006B670C">
              <w:rPr>
                <w:rFonts w:asciiTheme="minorEastAsia" w:hAnsiTheme="minorEastAsia" w:cs="Arial" w:hint="eastAsia"/>
                <w:b/>
                <w:bCs/>
              </w:rPr>
              <w:t>评审项目</w:t>
            </w:r>
          </w:p>
        </w:tc>
        <w:tc>
          <w:tcPr>
            <w:tcW w:w="6683" w:type="dxa"/>
            <w:vAlign w:val="center"/>
          </w:tcPr>
          <w:p w14:paraId="5B65C92B" w14:textId="77777777" w:rsidR="00887535" w:rsidRPr="006B670C" w:rsidRDefault="00887535" w:rsidP="005374F3">
            <w:pPr>
              <w:jc w:val="center"/>
              <w:rPr>
                <w:rFonts w:asciiTheme="minorEastAsia" w:hAnsiTheme="minorEastAsia" w:cs="Arial"/>
                <w:b/>
                <w:bCs/>
              </w:rPr>
            </w:pPr>
            <w:r w:rsidRPr="006B670C">
              <w:rPr>
                <w:rFonts w:asciiTheme="minorEastAsia" w:hAnsiTheme="minorEastAsia" w:cs="Arial" w:hint="eastAsia"/>
                <w:b/>
                <w:bCs/>
              </w:rPr>
              <w:t>评分范围</w:t>
            </w:r>
          </w:p>
        </w:tc>
        <w:tc>
          <w:tcPr>
            <w:tcW w:w="709" w:type="dxa"/>
            <w:vAlign w:val="center"/>
          </w:tcPr>
          <w:p w14:paraId="6AE34AEA" w14:textId="77777777" w:rsidR="00887535" w:rsidRPr="006B670C" w:rsidRDefault="00887535" w:rsidP="005374F3">
            <w:pPr>
              <w:jc w:val="center"/>
              <w:rPr>
                <w:rFonts w:asciiTheme="minorEastAsia" w:hAnsiTheme="minorEastAsia" w:cs="Arial"/>
                <w:b/>
                <w:bCs/>
              </w:rPr>
            </w:pPr>
            <w:r w:rsidRPr="006B670C">
              <w:rPr>
                <w:rFonts w:asciiTheme="minorEastAsia" w:hAnsiTheme="minorEastAsia" w:cs="Arial" w:hint="eastAsia"/>
                <w:b/>
                <w:bCs/>
              </w:rPr>
              <w:t>单项分值</w:t>
            </w:r>
          </w:p>
        </w:tc>
      </w:tr>
      <w:tr w:rsidR="00887535" w:rsidRPr="006B670C" w14:paraId="7B31FD00" w14:textId="77777777" w:rsidTr="005374F3">
        <w:trPr>
          <w:cantSplit/>
          <w:trHeight w:val="680"/>
        </w:trPr>
        <w:tc>
          <w:tcPr>
            <w:tcW w:w="878" w:type="dxa"/>
            <w:vAlign w:val="center"/>
          </w:tcPr>
          <w:p w14:paraId="0A653B9E" w14:textId="77777777" w:rsidR="00887535" w:rsidRPr="006B670C" w:rsidRDefault="00887535" w:rsidP="005374F3">
            <w:pPr>
              <w:snapToGrid w:val="0"/>
              <w:jc w:val="center"/>
              <w:rPr>
                <w:rFonts w:asciiTheme="minorEastAsia" w:hAnsiTheme="minorEastAsia" w:cs="宋体"/>
              </w:rPr>
            </w:pPr>
            <w:r w:rsidRPr="006B670C">
              <w:rPr>
                <w:rFonts w:asciiTheme="minorEastAsia" w:hAnsiTheme="minorEastAsia" w:cs="宋体" w:hint="eastAsia"/>
              </w:rPr>
              <w:t>1</w:t>
            </w:r>
          </w:p>
        </w:tc>
        <w:tc>
          <w:tcPr>
            <w:tcW w:w="1081" w:type="dxa"/>
            <w:vAlign w:val="center"/>
          </w:tcPr>
          <w:p w14:paraId="68ACCEE6" w14:textId="77777777"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施工方案</w:t>
            </w:r>
          </w:p>
        </w:tc>
        <w:tc>
          <w:tcPr>
            <w:tcW w:w="6683" w:type="dxa"/>
            <w:vAlign w:val="center"/>
          </w:tcPr>
          <w:p w14:paraId="488A37BA" w14:textId="4E98A285"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施工方案</w:t>
            </w:r>
            <w:r w:rsidR="00F54235" w:rsidRPr="006B670C">
              <w:rPr>
                <w:rFonts w:asciiTheme="minorEastAsia" w:hAnsiTheme="minorEastAsia" w:cs="宋体" w:hint="eastAsia"/>
                <w:color w:val="000000"/>
              </w:rPr>
              <w:t>符合现场施工实际，</w:t>
            </w:r>
            <w:r w:rsidRPr="006B670C">
              <w:rPr>
                <w:rFonts w:asciiTheme="minorEastAsia" w:hAnsiTheme="minorEastAsia" w:cs="宋体" w:hint="eastAsia"/>
                <w:color w:val="000000"/>
              </w:rPr>
              <w:t>根据提供资料完善程度评审：</w:t>
            </w:r>
          </w:p>
          <w:p w14:paraId="7988C32B" w14:textId="77777777" w:rsidR="00887535" w:rsidRPr="006B670C" w:rsidRDefault="00887535" w:rsidP="00887535">
            <w:pPr>
              <w:pStyle w:val="ListParagraph"/>
              <w:widowControl w:val="0"/>
              <w:numPr>
                <w:ilvl w:val="0"/>
                <w:numId w:val="2"/>
              </w:numPr>
              <w:rPr>
                <w:rFonts w:asciiTheme="minorEastAsia" w:hAnsiTheme="minorEastAsia" w:cs="宋体"/>
                <w:color w:val="000000"/>
              </w:rPr>
            </w:pPr>
            <w:r w:rsidRPr="006B670C">
              <w:rPr>
                <w:rFonts w:asciiTheme="minorEastAsia" w:hAnsiTheme="minorEastAsia" w:cs="宋体" w:hint="eastAsia"/>
                <w:color w:val="000000"/>
              </w:rPr>
              <w:t>总体思路清晰明确，可操作性强，得</w:t>
            </w:r>
            <w:r w:rsidRPr="006B670C">
              <w:rPr>
                <w:rFonts w:asciiTheme="minorEastAsia" w:hAnsiTheme="minorEastAsia" w:cs="宋体"/>
                <w:color w:val="000000"/>
              </w:rPr>
              <w:t>16-25</w:t>
            </w:r>
            <w:r w:rsidRPr="006B670C">
              <w:rPr>
                <w:rFonts w:asciiTheme="minorEastAsia" w:hAnsiTheme="minorEastAsia" w:cs="宋体" w:hint="eastAsia"/>
                <w:color w:val="000000"/>
              </w:rPr>
              <w:t>分；</w:t>
            </w:r>
          </w:p>
          <w:p w14:paraId="0EB43858" w14:textId="77777777" w:rsidR="00887535" w:rsidRPr="006B670C" w:rsidRDefault="00887535" w:rsidP="00887535">
            <w:pPr>
              <w:pStyle w:val="ListParagraph"/>
              <w:widowControl w:val="0"/>
              <w:numPr>
                <w:ilvl w:val="0"/>
                <w:numId w:val="2"/>
              </w:numPr>
              <w:rPr>
                <w:rFonts w:asciiTheme="minorEastAsia" w:hAnsiTheme="minorEastAsia" w:cs="宋体"/>
                <w:color w:val="000000"/>
              </w:rPr>
            </w:pPr>
            <w:r w:rsidRPr="006B670C">
              <w:rPr>
                <w:rFonts w:asciiTheme="minorEastAsia" w:hAnsiTheme="minorEastAsia" w:cs="宋体" w:hint="eastAsia"/>
                <w:color w:val="000000"/>
              </w:rPr>
              <w:t>总体思路一般，可操作性一般，得</w:t>
            </w:r>
            <w:r w:rsidRPr="006B670C">
              <w:rPr>
                <w:rFonts w:asciiTheme="minorEastAsia" w:hAnsiTheme="minorEastAsia" w:cs="宋体"/>
                <w:color w:val="000000"/>
              </w:rPr>
              <w:t>6-15</w:t>
            </w:r>
            <w:r w:rsidRPr="006B670C">
              <w:rPr>
                <w:rFonts w:asciiTheme="minorEastAsia" w:hAnsiTheme="minorEastAsia" w:cs="宋体" w:hint="eastAsia"/>
                <w:color w:val="000000"/>
              </w:rPr>
              <w:t>分；</w:t>
            </w:r>
          </w:p>
          <w:p w14:paraId="32E234DA" w14:textId="77777777" w:rsidR="00887535" w:rsidRPr="006B670C" w:rsidRDefault="00887535" w:rsidP="00887535">
            <w:pPr>
              <w:pStyle w:val="ListParagraph"/>
              <w:widowControl w:val="0"/>
              <w:numPr>
                <w:ilvl w:val="0"/>
                <w:numId w:val="2"/>
              </w:numPr>
              <w:rPr>
                <w:rFonts w:asciiTheme="minorEastAsia" w:hAnsiTheme="minorEastAsia" w:cs="宋体"/>
                <w:color w:val="000000"/>
              </w:rPr>
            </w:pPr>
            <w:r w:rsidRPr="006B670C">
              <w:rPr>
                <w:rFonts w:asciiTheme="minorEastAsia" w:hAnsiTheme="minorEastAsia" w:cs="宋体" w:hint="eastAsia"/>
                <w:color w:val="000000"/>
              </w:rPr>
              <w:t>总体思路较差，缺乏个别施工内容，可操作性较差，得</w:t>
            </w:r>
            <w:r w:rsidRPr="006B670C">
              <w:rPr>
                <w:rFonts w:asciiTheme="minorEastAsia" w:hAnsiTheme="minorEastAsia" w:cs="宋体"/>
                <w:color w:val="000000"/>
              </w:rPr>
              <w:t>1-5</w:t>
            </w:r>
            <w:r w:rsidRPr="006B670C">
              <w:rPr>
                <w:rFonts w:asciiTheme="minorEastAsia" w:hAnsiTheme="minorEastAsia" w:cs="宋体" w:hint="eastAsia"/>
                <w:color w:val="000000"/>
              </w:rPr>
              <w:t>分；</w:t>
            </w:r>
          </w:p>
        </w:tc>
        <w:tc>
          <w:tcPr>
            <w:tcW w:w="709" w:type="dxa"/>
            <w:vAlign w:val="center"/>
          </w:tcPr>
          <w:p w14:paraId="2B126178" w14:textId="77777777" w:rsidR="00887535" w:rsidRPr="006B670C" w:rsidRDefault="00887535" w:rsidP="005374F3">
            <w:pPr>
              <w:jc w:val="center"/>
              <w:rPr>
                <w:rFonts w:asciiTheme="minorEastAsia" w:hAnsiTheme="minorEastAsia"/>
              </w:rPr>
            </w:pPr>
            <w:r w:rsidRPr="006B670C">
              <w:rPr>
                <w:rFonts w:asciiTheme="minorEastAsia" w:hAnsiTheme="minorEastAsia"/>
              </w:rPr>
              <w:t>25</w:t>
            </w:r>
          </w:p>
        </w:tc>
      </w:tr>
      <w:tr w:rsidR="00887535" w:rsidRPr="006B670C" w14:paraId="0BB8C182" w14:textId="77777777" w:rsidTr="005374F3">
        <w:trPr>
          <w:cantSplit/>
          <w:trHeight w:val="1135"/>
        </w:trPr>
        <w:tc>
          <w:tcPr>
            <w:tcW w:w="878" w:type="dxa"/>
            <w:vAlign w:val="center"/>
          </w:tcPr>
          <w:p w14:paraId="47C3E2FC" w14:textId="77777777" w:rsidR="00887535" w:rsidRPr="006B670C" w:rsidRDefault="00887535" w:rsidP="005374F3">
            <w:pPr>
              <w:snapToGrid w:val="0"/>
              <w:jc w:val="center"/>
              <w:rPr>
                <w:rFonts w:asciiTheme="minorEastAsia" w:hAnsiTheme="minorEastAsia" w:cs="宋体"/>
              </w:rPr>
            </w:pPr>
            <w:r w:rsidRPr="006B670C">
              <w:rPr>
                <w:rFonts w:asciiTheme="minorEastAsia" w:hAnsiTheme="minorEastAsia" w:cs="宋体" w:hint="eastAsia"/>
              </w:rPr>
              <w:lastRenderedPageBreak/>
              <w:t>2</w:t>
            </w:r>
          </w:p>
        </w:tc>
        <w:tc>
          <w:tcPr>
            <w:tcW w:w="1081" w:type="dxa"/>
            <w:vAlign w:val="center"/>
          </w:tcPr>
          <w:p w14:paraId="40E7AC4C" w14:textId="77777777"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施工组织方案</w:t>
            </w:r>
          </w:p>
        </w:tc>
        <w:tc>
          <w:tcPr>
            <w:tcW w:w="6683" w:type="dxa"/>
            <w:vAlign w:val="center"/>
          </w:tcPr>
          <w:p w14:paraId="12C9B5C8" w14:textId="217E4987" w:rsidR="00887535" w:rsidRPr="006B670C" w:rsidRDefault="00887535" w:rsidP="006B670C">
            <w:pPr>
              <w:rPr>
                <w:rFonts w:asciiTheme="minorEastAsia" w:hAnsiTheme="minorEastAsia" w:cs="宋体"/>
                <w:color w:val="000000"/>
              </w:rPr>
            </w:pPr>
            <w:bookmarkStart w:id="0" w:name="_GoBack"/>
            <w:bookmarkEnd w:id="0"/>
            <w:r w:rsidRPr="006B670C">
              <w:rPr>
                <w:rFonts w:asciiTheme="minorEastAsia" w:hAnsiTheme="minorEastAsia" w:cs="宋体" w:hint="eastAsia"/>
                <w:color w:val="000000"/>
              </w:rPr>
              <w:t>提供产品设计图纸，综合对比进行评审。</w:t>
            </w:r>
          </w:p>
          <w:p w14:paraId="5F4F68C9" w14:textId="5CE2D102" w:rsidR="00887535" w:rsidRPr="006B670C" w:rsidRDefault="00887535" w:rsidP="00887535">
            <w:pPr>
              <w:pStyle w:val="ListParagraph"/>
              <w:widowControl w:val="0"/>
              <w:numPr>
                <w:ilvl w:val="0"/>
                <w:numId w:val="3"/>
              </w:numPr>
              <w:rPr>
                <w:rFonts w:asciiTheme="minorEastAsia" w:hAnsiTheme="minorEastAsia" w:cs="宋体"/>
                <w:color w:val="000000"/>
              </w:rPr>
            </w:pPr>
            <w:r w:rsidRPr="006B670C">
              <w:rPr>
                <w:rFonts w:asciiTheme="minorEastAsia" w:hAnsiTheme="minorEastAsia" w:cs="宋体" w:hint="eastAsia"/>
                <w:color w:val="000000"/>
              </w:rPr>
              <w:t>方案内容齐全，操作性强，得</w:t>
            </w:r>
            <w:r w:rsidRPr="006B670C">
              <w:rPr>
                <w:rFonts w:asciiTheme="minorEastAsia" w:hAnsiTheme="minorEastAsia" w:cs="宋体"/>
                <w:color w:val="000000"/>
              </w:rPr>
              <w:t>1</w:t>
            </w:r>
            <w:r w:rsidR="00FE7BBD" w:rsidRPr="006B670C">
              <w:rPr>
                <w:rFonts w:asciiTheme="minorEastAsia" w:hAnsiTheme="minorEastAsia" w:cs="宋体" w:hint="eastAsia"/>
                <w:color w:val="000000"/>
              </w:rPr>
              <w:t>6</w:t>
            </w:r>
            <w:r w:rsidRPr="006B670C">
              <w:rPr>
                <w:rFonts w:asciiTheme="minorEastAsia" w:hAnsiTheme="minorEastAsia" w:cs="宋体"/>
                <w:color w:val="000000"/>
              </w:rPr>
              <w:t>-</w:t>
            </w:r>
            <w:r w:rsidR="00282E5F" w:rsidRPr="006B670C">
              <w:rPr>
                <w:rFonts w:asciiTheme="minorEastAsia" w:hAnsiTheme="minorEastAsia" w:cs="宋体" w:hint="eastAsia"/>
                <w:color w:val="000000"/>
              </w:rPr>
              <w:t>25</w:t>
            </w:r>
            <w:r w:rsidRPr="006B670C">
              <w:rPr>
                <w:rFonts w:asciiTheme="minorEastAsia" w:hAnsiTheme="minorEastAsia" w:cs="宋体" w:hint="eastAsia"/>
                <w:color w:val="000000"/>
              </w:rPr>
              <w:t>分；</w:t>
            </w:r>
          </w:p>
          <w:p w14:paraId="0473CA87" w14:textId="0479252D" w:rsidR="00887535" w:rsidRPr="006B670C" w:rsidRDefault="00887535" w:rsidP="00887535">
            <w:pPr>
              <w:pStyle w:val="ListParagraph"/>
              <w:widowControl w:val="0"/>
              <w:numPr>
                <w:ilvl w:val="0"/>
                <w:numId w:val="3"/>
              </w:numPr>
              <w:rPr>
                <w:rFonts w:asciiTheme="minorEastAsia" w:hAnsiTheme="minorEastAsia" w:cs="宋体"/>
                <w:color w:val="000000"/>
              </w:rPr>
            </w:pPr>
            <w:r w:rsidRPr="006B670C">
              <w:rPr>
                <w:rFonts w:asciiTheme="minorEastAsia" w:hAnsiTheme="minorEastAsia" w:cs="宋体" w:hint="eastAsia"/>
                <w:color w:val="000000"/>
              </w:rPr>
              <w:t>内容缺项漏项，可操作性较差，得</w:t>
            </w:r>
            <w:r w:rsidRPr="006B670C">
              <w:rPr>
                <w:rFonts w:asciiTheme="minorEastAsia" w:hAnsiTheme="minorEastAsia" w:cs="宋体"/>
                <w:color w:val="000000"/>
              </w:rPr>
              <w:t>1-1</w:t>
            </w:r>
            <w:r w:rsidR="00FE7BBD" w:rsidRPr="006B670C">
              <w:rPr>
                <w:rFonts w:asciiTheme="minorEastAsia" w:hAnsiTheme="minorEastAsia" w:cs="宋体" w:hint="eastAsia"/>
                <w:color w:val="000000"/>
              </w:rPr>
              <w:t>5</w:t>
            </w:r>
            <w:r w:rsidRPr="006B670C">
              <w:rPr>
                <w:rFonts w:asciiTheme="minorEastAsia" w:hAnsiTheme="minorEastAsia" w:cs="宋体" w:hint="eastAsia"/>
                <w:color w:val="000000"/>
              </w:rPr>
              <w:t>分；</w:t>
            </w:r>
          </w:p>
        </w:tc>
        <w:tc>
          <w:tcPr>
            <w:tcW w:w="709" w:type="dxa"/>
            <w:vAlign w:val="center"/>
          </w:tcPr>
          <w:p w14:paraId="692D58E9" w14:textId="3693F4F5" w:rsidR="00887535" w:rsidRPr="006B670C" w:rsidRDefault="00615BA7" w:rsidP="005374F3">
            <w:pPr>
              <w:jc w:val="center"/>
              <w:rPr>
                <w:rFonts w:asciiTheme="minorEastAsia" w:hAnsiTheme="minorEastAsia"/>
              </w:rPr>
            </w:pPr>
            <w:r w:rsidRPr="006B670C">
              <w:rPr>
                <w:rFonts w:asciiTheme="minorEastAsia" w:hAnsiTheme="minorEastAsia" w:hint="eastAsia"/>
              </w:rPr>
              <w:t>25</w:t>
            </w:r>
          </w:p>
        </w:tc>
      </w:tr>
      <w:tr w:rsidR="00887535" w:rsidRPr="006B670C" w14:paraId="6CD906AE" w14:textId="77777777" w:rsidTr="005374F3">
        <w:trPr>
          <w:cantSplit/>
          <w:trHeight w:val="780"/>
        </w:trPr>
        <w:tc>
          <w:tcPr>
            <w:tcW w:w="878" w:type="dxa"/>
            <w:vAlign w:val="center"/>
          </w:tcPr>
          <w:p w14:paraId="49E44A0E" w14:textId="77777777" w:rsidR="00887535" w:rsidRPr="006B670C" w:rsidRDefault="00887535" w:rsidP="005374F3">
            <w:pPr>
              <w:snapToGrid w:val="0"/>
              <w:jc w:val="center"/>
              <w:rPr>
                <w:rFonts w:asciiTheme="minorEastAsia" w:hAnsiTheme="minorEastAsia" w:cs="宋体"/>
              </w:rPr>
            </w:pPr>
            <w:r w:rsidRPr="006B670C">
              <w:rPr>
                <w:rFonts w:asciiTheme="minorEastAsia" w:hAnsiTheme="minorEastAsia" w:cs="宋体"/>
              </w:rPr>
              <w:t>3</w:t>
            </w:r>
          </w:p>
        </w:tc>
        <w:tc>
          <w:tcPr>
            <w:tcW w:w="1081" w:type="dxa"/>
            <w:vAlign w:val="center"/>
          </w:tcPr>
          <w:p w14:paraId="55F9CCE8" w14:textId="77777777"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人员资质</w:t>
            </w:r>
          </w:p>
        </w:tc>
        <w:tc>
          <w:tcPr>
            <w:tcW w:w="6683" w:type="dxa"/>
            <w:vAlign w:val="center"/>
          </w:tcPr>
          <w:p w14:paraId="6B36C79B" w14:textId="7C07F172"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 xml:space="preserve"> 相关施工人员具备相关从业资格证书</w:t>
            </w:r>
            <w:r w:rsidR="00615BA7" w:rsidRPr="006B670C">
              <w:rPr>
                <w:rFonts w:asciiTheme="minorEastAsia" w:hAnsiTheme="minorEastAsia" w:cs="宋体" w:hint="eastAsia"/>
                <w:color w:val="000000"/>
              </w:rPr>
              <w:t>（高空作业证和电工证），提供两</w:t>
            </w:r>
            <w:proofErr w:type="gramStart"/>
            <w:r w:rsidR="00615BA7" w:rsidRPr="006B670C">
              <w:rPr>
                <w:rFonts w:asciiTheme="minorEastAsia" w:hAnsiTheme="minorEastAsia" w:cs="宋体" w:hint="eastAsia"/>
                <w:color w:val="000000"/>
              </w:rPr>
              <w:t>证相关</w:t>
            </w:r>
            <w:proofErr w:type="gramEnd"/>
            <w:r w:rsidR="00615BA7" w:rsidRPr="006B670C">
              <w:rPr>
                <w:rFonts w:asciiTheme="minorEastAsia" w:hAnsiTheme="minorEastAsia" w:cs="宋体" w:hint="eastAsia"/>
                <w:color w:val="000000"/>
              </w:rPr>
              <w:t>证明得5分，未提供者不得分</w:t>
            </w:r>
            <w:r w:rsidRPr="006B670C">
              <w:rPr>
                <w:rFonts w:asciiTheme="minorEastAsia" w:hAnsiTheme="minorEastAsia" w:cs="宋体" w:hint="eastAsia"/>
                <w:color w:val="000000"/>
              </w:rPr>
              <w:t>。</w:t>
            </w:r>
          </w:p>
        </w:tc>
        <w:tc>
          <w:tcPr>
            <w:tcW w:w="709" w:type="dxa"/>
            <w:vAlign w:val="center"/>
          </w:tcPr>
          <w:p w14:paraId="2F9471A8" w14:textId="77648514" w:rsidR="00887535" w:rsidRPr="006B670C" w:rsidRDefault="00615BA7" w:rsidP="005374F3">
            <w:pPr>
              <w:jc w:val="center"/>
              <w:rPr>
                <w:rFonts w:asciiTheme="minorEastAsia" w:hAnsiTheme="minorEastAsia"/>
              </w:rPr>
            </w:pPr>
            <w:r w:rsidRPr="006B670C">
              <w:rPr>
                <w:rFonts w:asciiTheme="minorEastAsia" w:hAnsiTheme="minorEastAsia" w:hint="eastAsia"/>
              </w:rPr>
              <w:t>5</w:t>
            </w:r>
          </w:p>
        </w:tc>
      </w:tr>
      <w:tr w:rsidR="00887535" w:rsidRPr="006B670C" w14:paraId="6DCD7F11" w14:textId="77777777" w:rsidTr="005374F3">
        <w:trPr>
          <w:cantSplit/>
          <w:trHeight w:val="780"/>
        </w:trPr>
        <w:tc>
          <w:tcPr>
            <w:tcW w:w="878" w:type="dxa"/>
            <w:vAlign w:val="center"/>
          </w:tcPr>
          <w:p w14:paraId="5CE23A72" w14:textId="77777777" w:rsidR="00887535" w:rsidRPr="006B670C" w:rsidRDefault="00887535" w:rsidP="005374F3">
            <w:pPr>
              <w:snapToGrid w:val="0"/>
              <w:jc w:val="center"/>
              <w:rPr>
                <w:rFonts w:asciiTheme="minorEastAsia" w:hAnsiTheme="minorEastAsia" w:cs="宋体"/>
              </w:rPr>
            </w:pPr>
            <w:r w:rsidRPr="006B670C">
              <w:rPr>
                <w:rFonts w:asciiTheme="minorEastAsia" w:hAnsiTheme="minorEastAsia" w:cs="宋体"/>
              </w:rPr>
              <w:t>4</w:t>
            </w:r>
          </w:p>
        </w:tc>
        <w:tc>
          <w:tcPr>
            <w:tcW w:w="1081" w:type="dxa"/>
            <w:vAlign w:val="center"/>
          </w:tcPr>
          <w:p w14:paraId="6DE8FD5B" w14:textId="77777777"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项目经验</w:t>
            </w:r>
          </w:p>
        </w:tc>
        <w:tc>
          <w:tcPr>
            <w:tcW w:w="6683" w:type="dxa"/>
            <w:vAlign w:val="center"/>
          </w:tcPr>
          <w:p w14:paraId="1E4C7303" w14:textId="3BCFB07F"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三年内具备同类工程经验，需附上相关项目合同</w:t>
            </w:r>
            <w:r w:rsidR="002C2D02" w:rsidRPr="006B670C">
              <w:rPr>
                <w:rFonts w:asciiTheme="minorEastAsia" w:hAnsiTheme="minorEastAsia" w:cs="宋体" w:hint="eastAsia"/>
                <w:color w:val="000000"/>
              </w:rPr>
              <w:t>复印件</w:t>
            </w:r>
            <w:r w:rsidR="00282E5F" w:rsidRPr="006B670C">
              <w:rPr>
                <w:rFonts w:asciiTheme="minorEastAsia" w:hAnsiTheme="minorEastAsia" w:cs="宋体" w:hint="eastAsia"/>
                <w:color w:val="000000"/>
              </w:rPr>
              <w:t>（含日期等关键页）</w:t>
            </w:r>
            <w:r w:rsidRPr="006B670C">
              <w:rPr>
                <w:rFonts w:asciiTheme="minorEastAsia" w:hAnsiTheme="minorEastAsia" w:cs="宋体" w:hint="eastAsia"/>
                <w:color w:val="000000"/>
              </w:rPr>
              <w:t>。一个项目2分，最多不超过6分</w:t>
            </w:r>
            <w:r w:rsidR="00282E5F" w:rsidRPr="006B670C">
              <w:rPr>
                <w:rFonts w:asciiTheme="minorEastAsia" w:hAnsiTheme="minorEastAsia" w:cs="宋体" w:hint="eastAsia"/>
                <w:color w:val="000000"/>
              </w:rPr>
              <w:t>，不提供者不得分</w:t>
            </w:r>
            <w:r w:rsidRPr="006B670C">
              <w:rPr>
                <w:rFonts w:asciiTheme="minorEastAsia" w:hAnsiTheme="minorEastAsia" w:cs="宋体" w:hint="eastAsia"/>
                <w:color w:val="000000"/>
              </w:rPr>
              <w:t>。</w:t>
            </w:r>
          </w:p>
        </w:tc>
        <w:tc>
          <w:tcPr>
            <w:tcW w:w="709" w:type="dxa"/>
            <w:vAlign w:val="center"/>
          </w:tcPr>
          <w:p w14:paraId="75E503BE" w14:textId="77777777" w:rsidR="00887535" w:rsidRPr="006B670C" w:rsidRDefault="00887535" w:rsidP="005374F3">
            <w:pPr>
              <w:jc w:val="center"/>
              <w:rPr>
                <w:rFonts w:asciiTheme="minorEastAsia" w:hAnsiTheme="minorEastAsia"/>
              </w:rPr>
            </w:pPr>
            <w:r w:rsidRPr="006B670C">
              <w:rPr>
                <w:rFonts w:asciiTheme="minorEastAsia" w:hAnsiTheme="minorEastAsia"/>
              </w:rPr>
              <w:t>6</w:t>
            </w:r>
          </w:p>
        </w:tc>
      </w:tr>
      <w:tr w:rsidR="00887535" w:rsidRPr="006B670C" w14:paraId="775BA1F4" w14:textId="77777777" w:rsidTr="005374F3">
        <w:trPr>
          <w:cantSplit/>
          <w:trHeight w:val="780"/>
        </w:trPr>
        <w:tc>
          <w:tcPr>
            <w:tcW w:w="878" w:type="dxa"/>
            <w:vAlign w:val="center"/>
          </w:tcPr>
          <w:p w14:paraId="7F909081" w14:textId="77777777" w:rsidR="00887535" w:rsidRPr="006B670C" w:rsidRDefault="00887535" w:rsidP="005374F3">
            <w:pPr>
              <w:snapToGrid w:val="0"/>
              <w:jc w:val="center"/>
              <w:rPr>
                <w:rFonts w:asciiTheme="minorEastAsia" w:hAnsiTheme="minorEastAsia" w:cs="宋体"/>
              </w:rPr>
            </w:pPr>
            <w:r w:rsidRPr="006B670C">
              <w:rPr>
                <w:rFonts w:asciiTheme="minorEastAsia" w:hAnsiTheme="minorEastAsia" w:cs="宋体"/>
              </w:rPr>
              <w:t>5</w:t>
            </w:r>
          </w:p>
        </w:tc>
        <w:tc>
          <w:tcPr>
            <w:tcW w:w="1081" w:type="dxa"/>
            <w:vAlign w:val="center"/>
          </w:tcPr>
          <w:p w14:paraId="6804A344" w14:textId="77777777"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安装、调试、培训组织措施</w:t>
            </w:r>
          </w:p>
        </w:tc>
        <w:tc>
          <w:tcPr>
            <w:tcW w:w="6683" w:type="dxa"/>
            <w:vAlign w:val="center"/>
          </w:tcPr>
          <w:p w14:paraId="14F85208" w14:textId="7DD1499A" w:rsidR="00887535" w:rsidRPr="006B670C" w:rsidRDefault="00887535" w:rsidP="006B670C">
            <w:pPr>
              <w:rPr>
                <w:rFonts w:asciiTheme="minorEastAsia" w:hAnsiTheme="minorEastAsia" w:cs="宋体"/>
                <w:color w:val="000000"/>
              </w:rPr>
            </w:pPr>
            <w:r w:rsidRPr="006B670C">
              <w:rPr>
                <w:rFonts w:asciiTheme="minorEastAsia" w:hAnsiTheme="minorEastAsia" w:cs="宋体" w:hint="eastAsia"/>
                <w:color w:val="000000"/>
              </w:rPr>
              <w:t>安装、调试、培训组织措施合理，综合对比进行评审。</w:t>
            </w:r>
            <w:r w:rsidR="00282E5F" w:rsidRPr="006B670C">
              <w:rPr>
                <w:rFonts w:asciiTheme="minorEastAsia" w:hAnsiTheme="minorEastAsia" w:cs="宋体" w:hint="eastAsia"/>
                <w:color w:val="000000"/>
              </w:rPr>
              <w:t>综合</w:t>
            </w:r>
            <w:proofErr w:type="gramStart"/>
            <w:r w:rsidR="00282E5F" w:rsidRPr="006B670C">
              <w:rPr>
                <w:rFonts w:asciiTheme="minorEastAsia" w:hAnsiTheme="minorEastAsia" w:cs="宋体" w:hint="eastAsia"/>
                <w:color w:val="000000"/>
              </w:rPr>
              <w:t>评比优得5分</w:t>
            </w:r>
            <w:proofErr w:type="gramEnd"/>
            <w:r w:rsidR="00282E5F" w:rsidRPr="006B670C">
              <w:rPr>
                <w:rFonts w:asciiTheme="minorEastAsia" w:hAnsiTheme="minorEastAsia" w:cs="宋体" w:hint="eastAsia"/>
                <w:color w:val="000000"/>
              </w:rPr>
              <w:t>，良好得3分，差得1分。</w:t>
            </w:r>
          </w:p>
        </w:tc>
        <w:tc>
          <w:tcPr>
            <w:tcW w:w="709" w:type="dxa"/>
            <w:vAlign w:val="center"/>
          </w:tcPr>
          <w:p w14:paraId="156FA6B8" w14:textId="77777777" w:rsidR="00887535" w:rsidRPr="006B670C" w:rsidRDefault="00887535" w:rsidP="005374F3">
            <w:pPr>
              <w:jc w:val="center"/>
              <w:rPr>
                <w:rFonts w:asciiTheme="minorEastAsia" w:hAnsiTheme="minorEastAsia"/>
              </w:rPr>
            </w:pPr>
            <w:r w:rsidRPr="006B670C">
              <w:rPr>
                <w:rFonts w:asciiTheme="minorEastAsia" w:hAnsiTheme="minorEastAsia"/>
              </w:rPr>
              <w:t>5</w:t>
            </w:r>
          </w:p>
        </w:tc>
      </w:tr>
      <w:tr w:rsidR="00887535" w:rsidRPr="006B670C" w14:paraId="38800DE4" w14:textId="77777777" w:rsidTr="005374F3">
        <w:trPr>
          <w:cantSplit/>
          <w:trHeight w:val="1135"/>
        </w:trPr>
        <w:tc>
          <w:tcPr>
            <w:tcW w:w="878" w:type="dxa"/>
            <w:vAlign w:val="center"/>
          </w:tcPr>
          <w:p w14:paraId="116107ED" w14:textId="77777777" w:rsidR="00887535" w:rsidRPr="006B670C" w:rsidRDefault="00887535" w:rsidP="005374F3">
            <w:pPr>
              <w:snapToGrid w:val="0"/>
              <w:jc w:val="center"/>
              <w:rPr>
                <w:rFonts w:asciiTheme="minorEastAsia" w:hAnsiTheme="minorEastAsia" w:cs="宋体"/>
              </w:rPr>
            </w:pPr>
            <w:r w:rsidRPr="006B670C">
              <w:rPr>
                <w:rFonts w:asciiTheme="minorEastAsia" w:hAnsiTheme="minorEastAsia" w:cs="宋体"/>
              </w:rPr>
              <w:t>6</w:t>
            </w:r>
          </w:p>
        </w:tc>
        <w:tc>
          <w:tcPr>
            <w:tcW w:w="1081" w:type="dxa"/>
            <w:vAlign w:val="center"/>
          </w:tcPr>
          <w:p w14:paraId="5279D35B" w14:textId="77777777"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售后服务方案</w:t>
            </w:r>
          </w:p>
        </w:tc>
        <w:tc>
          <w:tcPr>
            <w:tcW w:w="6683" w:type="dxa"/>
            <w:vAlign w:val="center"/>
          </w:tcPr>
          <w:p w14:paraId="26AE361B" w14:textId="26D0F6E2" w:rsidR="00887535" w:rsidRPr="006B670C" w:rsidRDefault="00887535" w:rsidP="005374F3">
            <w:pPr>
              <w:rPr>
                <w:rFonts w:asciiTheme="minorEastAsia" w:hAnsiTheme="minorEastAsia" w:cs="宋体"/>
                <w:color w:val="000000"/>
              </w:rPr>
            </w:pPr>
            <w:r w:rsidRPr="006B670C">
              <w:rPr>
                <w:rFonts w:asciiTheme="minorEastAsia" w:hAnsiTheme="minorEastAsia" w:cs="宋体" w:hint="eastAsia"/>
                <w:color w:val="000000"/>
              </w:rPr>
              <w:t>提供对项目质保期内质量问题的维修时间、响应时间、承诺的质保期限等综合对比进行评审。</w:t>
            </w:r>
            <w:r w:rsidR="00282E5F" w:rsidRPr="006B670C">
              <w:rPr>
                <w:rFonts w:asciiTheme="minorEastAsia" w:hAnsiTheme="minorEastAsia" w:cs="宋体" w:hint="eastAsia"/>
                <w:color w:val="000000"/>
              </w:rPr>
              <w:t>综合</w:t>
            </w:r>
            <w:proofErr w:type="gramStart"/>
            <w:r w:rsidR="00282E5F" w:rsidRPr="006B670C">
              <w:rPr>
                <w:rFonts w:asciiTheme="minorEastAsia" w:hAnsiTheme="minorEastAsia" w:cs="宋体" w:hint="eastAsia"/>
                <w:color w:val="000000"/>
              </w:rPr>
              <w:t>评比优得4分</w:t>
            </w:r>
            <w:proofErr w:type="gramEnd"/>
            <w:r w:rsidR="00282E5F" w:rsidRPr="006B670C">
              <w:rPr>
                <w:rFonts w:asciiTheme="minorEastAsia" w:hAnsiTheme="minorEastAsia" w:cs="宋体" w:hint="eastAsia"/>
                <w:color w:val="000000"/>
              </w:rPr>
              <w:t>，良好得2分，差得1分。</w:t>
            </w:r>
          </w:p>
        </w:tc>
        <w:tc>
          <w:tcPr>
            <w:tcW w:w="709" w:type="dxa"/>
            <w:vAlign w:val="center"/>
          </w:tcPr>
          <w:p w14:paraId="045E80CE" w14:textId="77777777" w:rsidR="00887535" w:rsidRPr="006B670C" w:rsidRDefault="00887535" w:rsidP="005374F3">
            <w:pPr>
              <w:jc w:val="center"/>
              <w:rPr>
                <w:rFonts w:asciiTheme="minorEastAsia" w:hAnsiTheme="minorEastAsia"/>
              </w:rPr>
            </w:pPr>
            <w:r w:rsidRPr="006B670C">
              <w:rPr>
                <w:rFonts w:asciiTheme="minorEastAsia" w:hAnsiTheme="minorEastAsia"/>
              </w:rPr>
              <w:t>4</w:t>
            </w:r>
          </w:p>
        </w:tc>
      </w:tr>
    </w:tbl>
    <w:p w14:paraId="23A1C05E" w14:textId="77777777" w:rsidR="00887535" w:rsidRPr="006B670C" w:rsidRDefault="00887535" w:rsidP="00887535">
      <w:pPr>
        <w:rPr>
          <w:rFonts w:asciiTheme="minorEastAsia" w:hAnsiTheme="minorEastAsia"/>
        </w:rPr>
      </w:pPr>
    </w:p>
    <w:p w14:paraId="0F5D9624" w14:textId="77777777" w:rsidR="00887535" w:rsidRPr="006B670C" w:rsidRDefault="00887535" w:rsidP="00887535">
      <w:pPr>
        <w:rPr>
          <w:rFonts w:asciiTheme="minorEastAsia" w:hAnsiTheme="minorEastAsia"/>
        </w:rPr>
      </w:pPr>
    </w:p>
    <w:p w14:paraId="4938A112" w14:textId="77777777" w:rsidR="00887535" w:rsidRPr="006B670C" w:rsidRDefault="00887535" w:rsidP="005068D5">
      <w:pPr>
        <w:pStyle w:val="ListParagraph"/>
        <w:rPr>
          <w:rFonts w:asciiTheme="minorEastAsia" w:hAnsiTheme="minorEastAsia"/>
        </w:rPr>
      </w:pPr>
    </w:p>
    <w:p w14:paraId="58B0C078" w14:textId="77777777" w:rsidR="00A65971" w:rsidRPr="006B670C" w:rsidRDefault="00A65971">
      <w:pPr>
        <w:rPr>
          <w:rFonts w:asciiTheme="minorEastAsia" w:hAnsiTheme="minorEastAsia"/>
        </w:rPr>
      </w:pPr>
    </w:p>
    <w:sectPr w:rsidR="00A65971" w:rsidRPr="006B67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146B" w14:textId="77777777" w:rsidR="00402346" w:rsidRDefault="00402346" w:rsidP="00C960EF">
      <w:pPr>
        <w:spacing w:after="0" w:line="240" w:lineRule="auto"/>
      </w:pPr>
      <w:r>
        <w:separator/>
      </w:r>
    </w:p>
  </w:endnote>
  <w:endnote w:type="continuationSeparator" w:id="0">
    <w:p w14:paraId="16BF281F" w14:textId="77777777" w:rsidR="00402346" w:rsidRDefault="00402346" w:rsidP="00C9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91CF" w14:textId="77777777" w:rsidR="00402346" w:rsidRDefault="00402346" w:rsidP="00C960EF">
      <w:pPr>
        <w:spacing w:after="0" w:line="240" w:lineRule="auto"/>
      </w:pPr>
      <w:r>
        <w:separator/>
      </w:r>
    </w:p>
  </w:footnote>
  <w:footnote w:type="continuationSeparator" w:id="0">
    <w:p w14:paraId="6548E8F9" w14:textId="77777777" w:rsidR="00402346" w:rsidRDefault="00402346" w:rsidP="00C9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8C0"/>
    <w:multiLevelType w:val="hybridMultilevel"/>
    <w:tmpl w:val="5FDA8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32101"/>
    <w:multiLevelType w:val="hybridMultilevel"/>
    <w:tmpl w:val="BF04ACB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C8"/>
    <w:rsid w:val="001C13B1"/>
    <w:rsid w:val="00282E5F"/>
    <w:rsid w:val="002C2D02"/>
    <w:rsid w:val="00325BC8"/>
    <w:rsid w:val="003655A9"/>
    <w:rsid w:val="00390F2A"/>
    <w:rsid w:val="00402346"/>
    <w:rsid w:val="004C4679"/>
    <w:rsid w:val="005068D5"/>
    <w:rsid w:val="00564A4D"/>
    <w:rsid w:val="00615BA7"/>
    <w:rsid w:val="006B670C"/>
    <w:rsid w:val="007213BC"/>
    <w:rsid w:val="007517E9"/>
    <w:rsid w:val="00887535"/>
    <w:rsid w:val="00A009CB"/>
    <w:rsid w:val="00A1463A"/>
    <w:rsid w:val="00A65971"/>
    <w:rsid w:val="00C960EF"/>
    <w:rsid w:val="00D532BF"/>
    <w:rsid w:val="00D70F34"/>
    <w:rsid w:val="00D7482B"/>
    <w:rsid w:val="00F24E90"/>
    <w:rsid w:val="00F42753"/>
    <w:rsid w:val="00F54235"/>
    <w:rsid w:val="00F92AC3"/>
    <w:rsid w:val="00FE7BBD"/>
  </w:rsids>
  <m:mathPr>
    <m:mathFont m:val="Cambria Math"/>
    <m:brkBin m:val="before"/>
    <m:brkBinSub m:val="--"/>
    <m:smallFrac m:val="0"/>
    <m:dispDef/>
    <m:lMargin m:val="0"/>
    <m:rMargin m:val="0"/>
    <m:defJc m:val="centerGroup"/>
    <m:wrapIndent m:val="1440"/>
    <m:intLim m:val="subSup"/>
    <m:naryLim m:val="undOvr"/>
  </m:mathPr>
  <w:themeFontLang w:val="en-I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89C8"/>
  <w15:chartTrackingRefBased/>
  <w15:docId w15:val="{8DD84CCF-EDF2-4D90-949B-4DD2BFC3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7535"/>
    <w:pPr>
      <w:keepNext/>
      <w:keepLines/>
      <w:spacing w:before="40" w:after="0"/>
      <w:outlineLvl w:val="1"/>
    </w:pPr>
    <w:rPr>
      <w:rFonts w:asciiTheme="majorHAnsi" w:eastAsiaTheme="majorEastAsia" w:hAnsiTheme="majorHAnsi" w:cstheme="majorBidi"/>
      <w:color w:val="2F5496"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0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0EF"/>
  </w:style>
  <w:style w:type="paragraph" w:styleId="Footer">
    <w:name w:val="footer"/>
    <w:basedOn w:val="Normal"/>
    <w:link w:val="FooterChar"/>
    <w:uiPriority w:val="99"/>
    <w:unhideWhenUsed/>
    <w:rsid w:val="00C960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0EF"/>
  </w:style>
  <w:style w:type="paragraph" w:styleId="ListParagraph">
    <w:name w:val="List Paragraph"/>
    <w:basedOn w:val="Normal"/>
    <w:uiPriority w:val="34"/>
    <w:qFormat/>
    <w:rsid w:val="00390F2A"/>
    <w:pPr>
      <w:ind w:left="720"/>
      <w:contextualSpacing/>
    </w:pPr>
  </w:style>
  <w:style w:type="character" w:customStyle="1" w:styleId="Heading2Char">
    <w:name w:val="Heading 2 Char"/>
    <w:basedOn w:val="DefaultParagraphFont"/>
    <w:link w:val="Heading2"/>
    <w:uiPriority w:val="9"/>
    <w:rsid w:val="00887535"/>
    <w:rPr>
      <w:rFonts w:asciiTheme="majorHAnsi" w:eastAsiaTheme="majorEastAsia" w:hAnsiTheme="majorHAnsi" w:cstheme="majorBidi"/>
      <w:color w:val="2F5496" w:themeColor="accent1" w:themeShade="BF"/>
      <w:sz w:val="26"/>
      <w:szCs w:val="26"/>
      <w:lang w:bidi="he-IL"/>
    </w:rPr>
  </w:style>
  <w:style w:type="paragraph" w:styleId="BalloonText">
    <w:name w:val="Balloon Text"/>
    <w:basedOn w:val="Normal"/>
    <w:link w:val="BalloonTextChar"/>
    <w:uiPriority w:val="99"/>
    <w:semiHidden/>
    <w:unhideWhenUsed/>
    <w:rsid w:val="0072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Elma XIE 谢心洁</cp:lastModifiedBy>
  <cp:revision>3</cp:revision>
  <dcterms:created xsi:type="dcterms:W3CDTF">2023-05-15T07:51:00Z</dcterms:created>
  <dcterms:modified xsi:type="dcterms:W3CDTF">2023-05-15T08:03:00Z</dcterms:modified>
</cp:coreProperties>
</file>