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F2B6" w14:textId="2121626E" w:rsidR="00B911F9" w:rsidRPr="00E836A7" w:rsidRDefault="00574372" w:rsidP="00E836A7">
      <w:pPr>
        <w:pStyle w:val="Heading2"/>
      </w:pPr>
      <w:r>
        <w:rPr>
          <w:rFonts w:hint="eastAsia"/>
        </w:rPr>
        <w:t>一、</w:t>
      </w:r>
      <w:r w:rsidR="00EC7CA5" w:rsidRPr="00E836A7">
        <w:t>工程</w:t>
      </w:r>
      <w:r w:rsidR="00EC7CA5" w:rsidRPr="00E836A7">
        <w:rPr>
          <w:rFonts w:hint="eastAsia"/>
        </w:rPr>
        <w:t>概况</w:t>
      </w:r>
    </w:p>
    <w:p w14:paraId="7C717FA8" w14:textId="08854F1C" w:rsidR="00EC7CA5" w:rsidRDefault="0026303E" w:rsidP="00E836A7">
      <w:pPr>
        <w:pStyle w:val="BodyTextIndent"/>
      </w:pPr>
      <w:r>
        <w:rPr>
          <w:rFonts w:hint="eastAsia"/>
        </w:rPr>
        <w:t>本项目内容将对地下室已有的消防气体灭火系统存在的缺陷进行维修，改造</w:t>
      </w:r>
      <w:r w:rsidR="00CF313C">
        <w:rPr>
          <w:rFonts w:hint="eastAsia"/>
        </w:rPr>
        <w:t>，</w:t>
      </w:r>
      <w:r w:rsidR="00372263">
        <w:rPr>
          <w:rFonts w:hint="eastAsia"/>
        </w:rPr>
        <w:t>项目</w:t>
      </w:r>
      <w:proofErr w:type="gramStart"/>
      <w:r w:rsidR="00372263">
        <w:rPr>
          <w:rFonts w:hint="eastAsia"/>
        </w:rPr>
        <w:t>范围内</w:t>
      </w:r>
      <w:r w:rsidR="00CF313C">
        <w:rPr>
          <w:rFonts w:hint="eastAsia"/>
        </w:rPr>
        <w:t>但不</w:t>
      </w:r>
      <w:proofErr w:type="gramEnd"/>
      <w:r w:rsidR="00CF313C">
        <w:rPr>
          <w:rFonts w:hint="eastAsia"/>
        </w:rPr>
        <w:t>限于对烟感探测器、温感感探测器、中继模块、手自动转换开关、紧急启停按钮、气体释放警报器、手动报警按钮、火灾声光报警器、火灾</w:t>
      </w:r>
      <w:proofErr w:type="gramStart"/>
      <w:r w:rsidR="00CF313C">
        <w:rPr>
          <w:rFonts w:hint="eastAsia"/>
        </w:rPr>
        <w:t>显示</w:t>
      </w:r>
      <w:proofErr w:type="gramEnd"/>
      <w:r w:rsidR="00CF313C">
        <w:rPr>
          <w:rFonts w:hint="eastAsia"/>
        </w:rPr>
        <w:t>盘</w:t>
      </w:r>
      <w:r w:rsidR="00E836A7">
        <w:rPr>
          <w:rFonts w:hint="eastAsia"/>
        </w:rPr>
        <w:t>等与</w:t>
      </w:r>
      <w:r w:rsidR="00CF313C">
        <w:rPr>
          <w:rFonts w:hint="eastAsia"/>
        </w:rPr>
        <w:t>消防控制中心火灾报警系统进行</w:t>
      </w:r>
      <w:r w:rsidR="00E836A7">
        <w:rPr>
          <w:rFonts w:hint="eastAsia"/>
        </w:rPr>
        <w:t>整体</w:t>
      </w:r>
      <w:r w:rsidR="00CF313C">
        <w:rPr>
          <w:rFonts w:hint="eastAsia"/>
        </w:rPr>
        <w:t>联动，</w:t>
      </w:r>
      <w:r>
        <w:rPr>
          <w:rFonts w:hint="eastAsia"/>
        </w:rPr>
        <w:t>在符合消防相关法规的前提下满足</w:t>
      </w:r>
      <w:r w:rsidR="00E836A7">
        <w:rPr>
          <w:rFonts w:hint="eastAsia"/>
        </w:rPr>
        <w:t>校方安全需求及使用</w:t>
      </w:r>
      <w:r>
        <w:rPr>
          <w:rFonts w:hint="eastAsia"/>
        </w:rPr>
        <w:t>需求。</w:t>
      </w:r>
    </w:p>
    <w:p w14:paraId="05C0BACC" w14:textId="32F85A26" w:rsidR="0026303E" w:rsidRDefault="00574372" w:rsidP="00495B1B">
      <w:pPr>
        <w:pStyle w:val="Heading2"/>
      </w:pPr>
      <w:r>
        <w:rPr>
          <w:rFonts w:hint="eastAsia"/>
        </w:rPr>
        <w:t>二、</w:t>
      </w:r>
      <w:r w:rsidR="00495B1B">
        <w:rPr>
          <w:rFonts w:hint="eastAsia"/>
        </w:rPr>
        <w:t>工程范围</w:t>
      </w:r>
    </w:p>
    <w:p w14:paraId="34FE9978" w14:textId="01157A9C" w:rsidR="00495B1B" w:rsidRDefault="00495B1B" w:rsidP="00495B1B">
      <w:r>
        <w:rPr>
          <w:rFonts w:hint="eastAsia"/>
        </w:rPr>
        <w:t>本项目涉及对</w:t>
      </w:r>
      <w:r w:rsidR="00A353EB">
        <w:rPr>
          <w:rFonts w:hint="eastAsia"/>
        </w:rPr>
        <w:t>以下</w:t>
      </w:r>
      <w:r>
        <w:rPr>
          <w:rFonts w:hint="eastAsia"/>
        </w:rPr>
        <w:t>清单中气体灭火系统进行整改</w:t>
      </w:r>
      <w:r w:rsidR="005D688E">
        <w:rPr>
          <w:rFonts w:hint="eastAsia"/>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200"/>
        <w:gridCol w:w="5522"/>
      </w:tblGrid>
      <w:tr w:rsidR="00495B1B" w:rsidRPr="00495B1B" w14:paraId="05B8FC4F" w14:textId="77777777" w:rsidTr="00B8714F">
        <w:trPr>
          <w:trHeight w:val="288"/>
        </w:trPr>
        <w:tc>
          <w:tcPr>
            <w:tcW w:w="920" w:type="dxa"/>
            <w:shd w:val="clear" w:color="auto" w:fill="auto"/>
            <w:noWrap/>
            <w:vAlign w:val="center"/>
            <w:hideMark/>
          </w:tcPr>
          <w:p w14:paraId="7E262C31"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hint="eastAsia"/>
                <w:color w:val="000000"/>
                <w:lang w:bidi="ar-SA"/>
              </w:rPr>
              <w:t>系</w:t>
            </w:r>
            <w:r w:rsidRPr="00495B1B">
              <w:rPr>
                <w:rFonts w:ascii="微软雅黑" w:eastAsia="微软雅黑" w:hAnsi="微软雅黑" w:cs="微软雅黑"/>
                <w:color w:val="000000"/>
                <w:lang w:bidi="ar-SA"/>
              </w:rPr>
              <w:t>统</w:t>
            </w:r>
          </w:p>
        </w:tc>
        <w:tc>
          <w:tcPr>
            <w:tcW w:w="2200" w:type="dxa"/>
            <w:shd w:val="clear" w:color="auto" w:fill="auto"/>
            <w:vAlign w:val="center"/>
            <w:hideMark/>
          </w:tcPr>
          <w:p w14:paraId="197A5C79" w14:textId="77777777" w:rsidR="00495B1B" w:rsidRPr="00495B1B" w:rsidRDefault="00495B1B" w:rsidP="00495B1B">
            <w:pPr>
              <w:spacing w:after="0" w:line="240" w:lineRule="auto"/>
              <w:jc w:val="center"/>
              <w:rPr>
                <w:rFonts w:ascii="Arial" w:eastAsia="Times New Roman" w:hAnsi="Arial" w:cs="Arial"/>
                <w:color w:val="000000"/>
                <w:lang w:bidi="ar-SA"/>
              </w:rPr>
            </w:pPr>
            <w:r w:rsidRPr="00495B1B">
              <w:rPr>
                <w:rFonts w:ascii="微软雅黑" w:eastAsia="微软雅黑" w:hAnsi="微软雅黑" w:cs="微软雅黑"/>
                <w:color w:val="000000"/>
                <w:lang w:bidi="ar-SA"/>
              </w:rPr>
              <w:t>位置</w:t>
            </w:r>
          </w:p>
        </w:tc>
        <w:tc>
          <w:tcPr>
            <w:tcW w:w="5522" w:type="dxa"/>
            <w:shd w:val="clear" w:color="auto" w:fill="auto"/>
            <w:vAlign w:val="center"/>
            <w:hideMark/>
          </w:tcPr>
          <w:p w14:paraId="063A4D6D" w14:textId="77777777" w:rsidR="00495B1B" w:rsidRPr="00495B1B" w:rsidRDefault="00495B1B" w:rsidP="00495B1B">
            <w:pPr>
              <w:spacing w:after="0" w:line="240" w:lineRule="auto"/>
              <w:jc w:val="center"/>
              <w:rPr>
                <w:rFonts w:ascii="Arial" w:eastAsia="Times New Roman" w:hAnsi="Arial" w:cs="Arial"/>
                <w:color w:val="000000"/>
                <w:lang w:bidi="ar-SA"/>
              </w:rPr>
            </w:pPr>
            <w:r w:rsidRPr="00495B1B">
              <w:rPr>
                <w:rFonts w:ascii="微软雅黑" w:eastAsia="微软雅黑" w:hAnsi="微软雅黑" w:cs="微软雅黑"/>
                <w:color w:val="000000"/>
                <w:lang w:bidi="ar-SA"/>
              </w:rPr>
              <w:t>系统缺陷</w:t>
            </w:r>
          </w:p>
        </w:tc>
      </w:tr>
      <w:tr w:rsidR="00495B1B" w:rsidRPr="00495B1B" w14:paraId="51B3DDCC" w14:textId="77777777" w:rsidTr="00B8714F">
        <w:trPr>
          <w:trHeight w:val="288"/>
        </w:trPr>
        <w:tc>
          <w:tcPr>
            <w:tcW w:w="920" w:type="dxa"/>
            <w:shd w:val="clear" w:color="auto" w:fill="auto"/>
            <w:noWrap/>
            <w:vAlign w:val="center"/>
            <w:hideMark/>
          </w:tcPr>
          <w:p w14:paraId="24B40E89"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w:t>
            </w:r>
            <w:proofErr w:type="gramStart"/>
            <w:r w:rsidRPr="00495B1B">
              <w:rPr>
                <w:rFonts w:ascii="微软雅黑" w:eastAsia="微软雅黑" w:hAnsi="微软雅黑" w:cs="微软雅黑"/>
                <w:color w:val="000000"/>
                <w:lang w:bidi="ar-SA"/>
              </w:rPr>
              <w:t>一</w:t>
            </w:r>
            <w:proofErr w:type="gramEnd"/>
          </w:p>
        </w:tc>
        <w:tc>
          <w:tcPr>
            <w:tcW w:w="2200" w:type="dxa"/>
            <w:shd w:val="clear" w:color="auto" w:fill="auto"/>
            <w:vAlign w:val="center"/>
            <w:hideMark/>
          </w:tcPr>
          <w:p w14:paraId="2A9E5B36"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配电房</w:t>
            </w:r>
            <w:r w:rsidRPr="00495B1B">
              <w:rPr>
                <w:rFonts w:ascii="Calibri" w:eastAsia="Times New Roman" w:hAnsi="Calibri" w:cs="Calibri"/>
                <w:color w:val="000000"/>
                <w:lang w:bidi="ar-SA"/>
              </w:rPr>
              <w:t>A</w:t>
            </w:r>
          </w:p>
        </w:tc>
        <w:tc>
          <w:tcPr>
            <w:tcW w:w="5522" w:type="dxa"/>
            <w:shd w:val="clear" w:color="auto" w:fill="auto"/>
            <w:vAlign w:val="center"/>
            <w:hideMark/>
          </w:tcPr>
          <w:p w14:paraId="181DFE5C"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52CEFBF1" w14:textId="77777777" w:rsidTr="00B8714F">
        <w:trPr>
          <w:trHeight w:val="288"/>
        </w:trPr>
        <w:tc>
          <w:tcPr>
            <w:tcW w:w="920" w:type="dxa"/>
            <w:shd w:val="clear" w:color="auto" w:fill="auto"/>
            <w:noWrap/>
            <w:vAlign w:val="center"/>
            <w:hideMark/>
          </w:tcPr>
          <w:p w14:paraId="7C50B4CC"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系统二</w:t>
            </w:r>
          </w:p>
        </w:tc>
        <w:tc>
          <w:tcPr>
            <w:tcW w:w="2200" w:type="dxa"/>
            <w:shd w:val="clear" w:color="auto" w:fill="auto"/>
            <w:vAlign w:val="center"/>
            <w:hideMark/>
          </w:tcPr>
          <w:p w14:paraId="3F34E035"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配电房</w:t>
            </w:r>
            <w:r w:rsidRPr="00495B1B">
              <w:rPr>
                <w:rFonts w:ascii="Calibri" w:eastAsia="Times New Roman" w:hAnsi="Calibri" w:cs="Calibri"/>
                <w:color w:val="000000"/>
                <w:lang w:bidi="ar-SA"/>
              </w:rPr>
              <w:t>B</w:t>
            </w:r>
          </w:p>
        </w:tc>
        <w:tc>
          <w:tcPr>
            <w:tcW w:w="5522" w:type="dxa"/>
            <w:shd w:val="clear" w:color="auto" w:fill="auto"/>
            <w:vAlign w:val="center"/>
            <w:hideMark/>
          </w:tcPr>
          <w:p w14:paraId="6A8A32E2"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42C6A87E" w14:textId="77777777" w:rsidTr="00B8714F">
        <w:trPr>
          <w:trHeight w:val="288"/>
        </w:trPr>
        <w:tc>
          <w:tcPr>
            <w:tcW w:w="920" w:type="dxa"/>
            <w:shd w:val="clear" w:color="auto" w:fill="auto"/>
            <w:noWrap/>
            <w:vAlign w:val="center"/>
            <w:hideMark/>
          </w:tcPr>
          <w:p w14:paraId="69A41F58"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系统三</w:t>
            </w:r>
          </w:p>
        </w:tc>
        <w:tc>
          <w:tcPr>
            <w:tcW w:w="2200" w:type="dxa"/>
            <w:shd w:val="clear" w:color="auto" w:fill="auto"/>
            <w:vAlign w:val="center"/>
            <w:hideMark/>
          </w:tcPr>
          <w:p w14:paraId="58536828"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配电房</w:t>
            </w:r>
            <w:r w:rsidRPr="00495B1B">
              <w:rPr>
                <w:rFonts w:ascii="Calibri" w:eastAsia="Times New Roman" w:hAnsi="Calibri" w:cs="Calibri"/>
                <w:color w:val="000000"/>
                <w:lang w:bidi="ar-SA"/>
              </w:rPr>
              <w:t>C</w:t>
            </w:r>
          </w:p>
        </w:tc>
        <w:tc>
          <w:tcPr>
            <w:tcW w:w="5522" w:type="dxa"/>
            <w:shd w:val="clear" w:color="auto" w:fill="auto"/>
            <w:vAlign w:val="center"/>
            <w:hideMark/>
          </w:tcPr>
          <w:p w14:paraId="12CFA3AC"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527EB0D6" w14:textId="77777777" w:rsidTr="00B8714F">
        <w:trPr>
          <w:trHeight w:val="288"/>
        </w:trPr>
        <w:tc>
          <w:tcPr>
            <w:tcW w:w="920" w:type="dxa"/>
            <w:shd w:val="clear" w:color="auto" w:fill="auto"/>
            <w:noWrap/>
            <w:vAlign w:val="center"/>
            <w:hideMark/>
          </w:tcPr>
          <w:p w14:paraId="5A3ACDA7"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系统三</w:t>
            </w:r>
          </w:p>
        </w:tc>
        <w:tc>
          <w:tcPr>
            <w:tcW w:w="2200" w:type="dxa"/>
            <w:shd w:val="clear" w:color="auto" w:fill="auto"/>
            <w:vAlign w:val="center"/>
            <w:hideMark/>
          </w:tcPr>
          <w:p w14:paraId="1CF05E61"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RB01-2-FNS Lab</w:t>
            </w:r>
          </w:p>
        </w:tc>
        <w:tc>
          <w:tcPr>
            <w:tcW w:w="5522" w:type="dxa"/>
            <w:shd w:val="clear" w:color="auto" w:fill="auto"/>
            <w:vAlign w:val="center"/>
            <w:hideMark/>
          </w:tcPr>
          <w:p w14:paraId="4C61797E"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20D42FFC" w14:textId="77777777" w:rsidTr="00B8714F">
        <w:trPr>
          <w:trHeight w:val="288"/>
        </w:trPr>
        <w:tc>
          <w:tcPr>
            <w:tcW w:w="920" w:type="dxa"/>
            <w:vMerge w:val="restart"/>
            <w:shd w:val="clear" w:color="auto" w:fill="auto"/>
            <w:noWrap/>
            <w:vAlign w:val="center"/>
            <w:hideMark/>
          </w:tcPr>
          <w:p w14:paraId="6152E851"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系统四</w:t>
            </w:r>
          </w:p>
        </w:tc>
        <w:tc>
          <w:tcPr>
            <w:tcW w:w="2200" w:type="dxa"/>
            <w:shd w:val="clear" w:color="auto" w:fill="auto"/>
            <w:vAlign w:val="center"/>
            <w:hideMark/>
          </w:tcPr>
          <w:p w14:paraId="44A75ED1"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RB02-SEM Lab</w:t>
            </w:r>
          </w:p>
        </w:tc>
        <w:tc>
          <w:tcPr>
            <w:tcW w:w="5522" w:type="dxa"/>
            <w:vMerge w:val="restart"/>
            <w:shd w:val="clear" w:color="auto" w:fill="auto"/>
            <w:vAlign w:val="center"/>
            <w:hideMark/>
          </w:tcPr>
          <w:p w14:paraId="63ED4746"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676800A1" w14:textId="77777777" w:rsidTr="00B8714F">
        <w:trPr>
          <w:trHeight w:val="288"/>
        </w:trPr>
        <w:tc>
          <w:tcPr>
            <w:tcW w:w="920" w:type="dxa"/>
            <w:vMerge/>
            <w:vAlign w:val="center"/>
            <w:hideMark/>
          </w:tcPr>
          <w:p w14:paraId="07418B13" w14:textId="77777777" w:rsidR="00495B1B" w:rsidRPr="00495B1B" w:rsidRDefault="00495B1B" w:rsidP="00495B1B">
            <w:pPr>
              <w:spacing w:after="0" w:line="240" w:lineRule="auto"/>
              <w:rPr>
                <w:rFonts w:ascii="Calibri" w:eastAsia="Times New Roman" w:hAnsi="Calibri" w:cs="Calibri"/>
                <w:color w:val="000000"/>
                <w:lang w:bidi="ar-SA"/>
              </w:rPr>
            </w:pPr>
          </w:p>
        </w:tc>
        <w:tc>
          <w:tcPr>
            <w:tcW w:w="2200" w:type="dxa"/>
            <w:shd w:val="clear" w:color="auto" w:fill="auto"/>
            <w:vAlign w:val="center"/>
            <w:hideMark/>
          </w:tcPr>
          <w:p w14:paraId="7881180A"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RB03-TEM Lab</w:t>
            </w:r>
          </w:p>
        </w:tc>
        <w:tc>
          <w:tcPr>
            <w:tcW w:w="5522" w:type="dxa"/>
            <w:vMerge/>
            <w:vAlign w:val="center"/>
            <w:hideMark/>
          </w:tcPr>
          <w:p w14:paraId="0B84240F" w14:textId="77777777" w:rsidR="00495B1B" w:rsidRPr="00495B1B" w:rsidRDefault="00495B1B" w:rsidP="00495B1B">
            <w:pPr>
              <w:spacing w:after="0" w:line="240" w:lineRule="auto"/>
              <w:rPr>
                <w:rFonts w:ascii="Calibri" w:eastAsia="Times New Roman" w:hAnsi="Calibri" w:cs="Calibri"/>
                <w:color w:val="000000"/>
                <w:lang w:bidi="ar-SA"/>
              </w:rPr>
            </w:pPr>
          </w:p>
        </w:tc>
      </w:tr>
      <w:tr w:rsidR="00495B1B" w:rsidRPr="00495B1B" w14:paraId="4664A631" w14:textId="77777777" w:rsidTr="00B8714F">
        <w:trPr>
          <w:trHeight w:val="288"/>
        </w:trPr>
        <w:tc>
          <w:tcPr>
            <w:tcW w:w="920" w:type="dxa"/>
            <w:vMerge w:val="restart"/>
            <w:shd w:val="clear" w:color="auto" w:fill="auto"/>
            <w:noWrap/>
            <w:vAlign w:val="center"/>
            <w:hideMark/>
          </w:tcPr>
          <w:p w14:paraId="1BED0EA3"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系统五</w:t>
            </w:r>
          </w:p>
        </w:tc>
        <w:tc>
          <w:tcPr>
            <w:tcW w:w="2200" w:type="dxa"/>
            <w:shd w:val="clear" w:color="auto" w:fill="auto"/>
            <w:vAlign w:val="center"/>
            <w:hideMark/>
          </w:tcPr>
          <w:p w14:paraId="70573723"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RB04-(Empty)</w:t>
            </w:r>
          </w:p>
        </w:tc>
        <w:tc>
          <w:tcPr>
            <w:tcW w:w="5522" w:type="dxa"/>
            <w:vMerge w:val="restart"/>
            <w:shd w:val="clear" w:color="auto" w:fill="auto"/>
            <w:vAlign w:val="center"/>
            <w:hideMark/>
          </w:tcPr>
          <w:p w14:paraId="5CEB3532"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5938B075" w14:textId="77777777" w:rsidTr="00B8714F">
        <w:trPr>
          <w:trHeight w:val="288"/>
        </w:trPr>
        <w:tc>
          <w:tcPr>
            <w:tcW w:w="920" w:type="dxa"/>
            <w:vMerge/>
            <w:vAlign w:val="center"/>
            <w:hideMark/>
          </w:tcPr>
          <w:p w14:paraId="1E487647" w14:textId="77777777" w:rsidR="00495B1B" w:rsidRPr="00495B1B" w:rsidRDefault="00495B1B" w:rsidP="00495B1B">
            <w:pPr>
              <w:spacing w:after="0" w:line="240" w:lineRule="auto"/>
              <w:rPr>
                <w:rFonts w:ascii="Calibri" w:eastAsia="Times New Roman" w:hAnsi="Calibri" w:cs="Calibri"/>
                <w:color w:val="000000"/>
                <w:lang w:bidi="ar-SA"/>
              </w:rPr>
            </w:pPr>
          </w:p>
        </w:tc>
        <w:tc>
          <w:tcPr>
            <w:tcW w:w="2200" w:type="dxa"/>
            <w:shd w:val="clear" w:color="auto" w:fill="auto"/>
            <w:vAlign w:val="center"/>
            <w:hideMark/>
          </w:tcPr>
          <w:p w14:paraId="5CEE386A"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RB05-FIB Lab</w:t>
            </w:r>
          </w:p>
        </w:tc>
        <w:tc>
          <w:tcPr>
            <w:tcW w:w="5522" w:type="dxa"/>
            <w:vMerge/>
            <w:vAlign w:val="center"/>
            <w:hideMark/>
          </w:tcPr>
          <w:p w14:paraId="39F7244F" w14:textId="77777777" w:rsidR="00495B1B" w:rsidRPr="00495B1B" w:rsidRDefault="00495B1B" w:rsidP="00495B1B">
            <w:pPr>
              <w:spacing w:after="0" w:line="240" w:lineRule="auto"/>
              <w:rPr>
                <w:rFonts w:ascii="Calibri" w:eastAsia="Times New Roman" w:hAnsi="Calibri" w:cs="Calibri"/>
                <w:color w:val="000000"/>
                <w:lang w:bidi="ar-SA"/>
              </w:rPr>
            </w:pPr>
          </w:p>
        </w:tc>
      </w:tr>
      <w:tr w:rsidR="00495B1B" w:rsidRPr="00495B1B" w14:paraId="24A1B258" w14:textId="77777777" w:rsidTr="00B8714F">
        <w:trPr>
          <w:trHeight w:val="288"/>
        </w:trPr>
        <w:tc>
          <w:tcPr>
            <w:tcW w:w="920" w:type="dxa"/>
            <w:vMerge/>
            <w:vAlign w:val="center"/>
            <w:hideMark/>
          </w:tcPr>
          <w:p w14:paraId="6ED65676" w14:textId="77777777" w:rsidR="00495B1B" w:rsidRPr="00495B1B" w:rsidRDefault="00495B1B" w:rsidP="00495B1B">
            <w:pPr>
              <w:spacing w:after="0" w:line="240" w:lineRule="auto"/>
              <w:rPr>
                <w:rFonts w:ascii="Calibri" w:eastAsia="Times New Roman" w:hAnsi="Calibri" w:cs="Calibri"/>
                <w:color w:val="000000"/>
                <w:lang w:bidi="ar-SA"/>
              </w:rPr>
            </w:pPr>
          </w:p>
        </w:tc>
        <w:tc>
          <w:tcPr>
            <w:tcW w:w="2200" w:type="dxa"/>
            <w:shd w:val="clear" w:color="auto" w:fill="auto"/>
            <w:vAlign w:val="center"/>
            <w:hideMark/>
          </w:tcPr>
          <w:p w14:paraId="2FBFE487"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RB16-ME Lab</w:t>
            </w:r>
          </w:p>
        </w:tc>
        <w:tc>
          <w:tcPr>
            <w:tcW w:w="5522" w:type="dxa"/>
            <w:vMerge/>
            <w:vAlign w:val="center"/>
            <w:hideMark/>
          </w:tcPr>
          <w:p w14:paraId="6FAEEC07" w14:textId="77777777" w:rsidR="00495B1B" w:rsidRPr="00495B1B" w:rsidRDefault="00495B1B" w:rsidP="00495B1B">
            <w:pPr>
              <w:spacing w:after="0" w:line="240" w:lineRule="auto"/>
              <w:rPr>
                <w:rFonts w:ascii="Calibri" w:eastAsia="Times New Roman" w:hAnsi="Calibri" w:cs="Calibri"/>
                <w:color w:val="000000"/>
                <w:lang w:bidi="ar-SA"/>
              </w:rPr>
            </w:pPr>
          </w:p>
        </w:tc>
      </w:tr>
      <w:tr w:rsidR="00495B1B" w:rsidRPr="00495B1B" w14:paraId="41B2804D" w14:textId="77777777" w:rsidTr="00B8714F">
        <w:trPr>
          <w:trHeight w:val="288"/>
        </w:trPr>
        <w:tc>
          <w:tcPr>
            <w:tcW w:w="920" w:type="dxa"/>
            <w:vMerge w:val="restart"/>
            <w:shd w:val="clear" w:color="auto" w:fill="auto"/>
            <w:noWrap/>
            <w:vAlign w:val="center"/>
            <w:hideMark/>
          </w:tcPr>
          <w:p w14:paraId="6A439FBA"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系统六</w:t>
            </w:r>
          </w:p>
        </w:tc>
        <w:tc>
          <w:tcPr>
            <w:tcW w:w="2200" w:type="dxa"/>
            <w:shd w:val="clear" w:color="auto" w:fill="auto"/>
            <w:vAlign w:val="center"/>
            <w:hideMark/>
          </w:tcPr>
          <w:p w14:paraId="3F538088"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RB06-1-EBL Lab</w:t>
            </w:r>
          </w:p>
        </w:tc>
        <w:tc>
          <w:tcPr>
            <w:tcW w:w="5522" w:type="dxa"/>
            <w:vMerge w:val="restart"/>
            <w:shd w:val="clear" w:color="auto" w:fill="auto"/>
            <w:vAlign w:val="center"/>
            <w:hideMark/>
          </w:tcPr>
          <w:p w14:paraId="0176B2B5" w14:textId="77777777"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系统检测，缺陷整改，联动至消防控制中心</w:t>
            </w:r>
          </w:p>
        </w:tc>
      </w:tr>
      <w:tr w:rsidR="00495B1B" w:rsidRPr="00495B1B" w14:paraId="5829F036" w14:textId="77777777" w:rsidTr="00B8714F">
        <w:trPr>
          <w:trHeight w:val="288"/>
        </w:trPr>
        <w:tc>
          <w:tcPr>
            <w:tcW w:w="920" w:type="dxa"/>
            <w:vMerge/>
            <w:vAlign w:val="center"/>
            <w:hideMark/>
          </w:tcPr>
          <w:p w14:paraId="77F0ECCD" w14:textId="77777777" w:rsidR="00495B1B" w:rsidRPr="00495B1B" w:rsidRDefault="00495B1B" w:rsidP="00495B1B">
            <w:pPr>
              <w:spacing w:after="0" w:line="240" w:lineRule="auto"/>
              <w:rPr>
                <w:rFonts w:ascii="Calibri" w:eastAsia="Times New Roman" w:hAnsi="Calibri" w:cs="Calibri"/>
                <w:color w:val="000000"/>
                <w:lang w:bidi="ar-SA"/>
              </w:rPr>
            </w:pPr>
          </w:p>
        </w:tc>
        <w:tc>
          <w:tcPr>
            <w:tcW w:w="2200" w:type="dxa"/>
            <w:shd w:val="clear" w:color="auto" w:fill="auto"/>
            <w:vAlign w:val="center"/>
            <w:hideMark/>
          </w:tcPr>
          <w:p w14:paraId="70B9702D"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RB06-2-X-ray Lab</w:t>
            </w:r>
          </w:p>
        </w:tc>
        <w:tc>
          <w:tcPr>
            <w:tcW w:w="5522" w:type="dxa"/>
            <w:vMerge/>
            <w:vAlign w:val="center"/>
            <w:hideMark/>
          </w:tcPr>
          <w:p w14:paraId="15116A5B" w14:textId="77777777" w:rsidR="00495B1B" w:rsidRPr="00495B1B" w:rsidRDefault="00495B1B" w:rsidP="00495B1B">
            <w:pPr>
              <w:spacing w:after="0" w:line="240" w:lineRule="auto"/>
              <w:rPr>
                <w:rFonts w:ascii="Calibri" w:eastAsia="Times New Roman" w:hAnsi="Calibri" w:cs="Calibri"/>
                <w:color w:val="000000"/>
                <w:lang w:bidi="ar-SA"/>
              </w:rPr>
            </w:pPr>
          </w:p>
        </w:tc>
      </w:tr>
      <w:tr w:rsidR="00495B1B" w:rsidRPr="00495B1B" w14:paraId="4CC70E26" w14:textId="77777777" w:rsidTr="00B8714F">
        <w:trPr>
          <w:trHeight w:val="288"/>
        </w:trPr>
        <w:tc>
          <w:tcPr>
            <w:tcW w:w="920" w:type="dxa"/>
            <w:shd w:val="clear" w:color="auto" w:fill="auto"/>
            <w:noWrap/>
            <w:vAlign w:val="center"/>
            <w:hideMark/>
          </w:tcPr>
          <w:p w14:paraId="5BF12893"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改造</w:t>
            </w:r>
          </w:p>
        </w:tc>
        <w:tc>
          <w:tcPr>
            <w:tcW w:w="2200" w:type="dxa"/>
            <w:shd w:val="clear" w:color="auto" w:fill="auto"/>
            <w:vAlign w:val="center"/>
            <w:hideMark/>
          </w:tcPr>
          <w:p w14:paraId="4DAE6AE4"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RB06-XPS Lab</w:t>
            </w:r>
          </w:p>
        </w:tc>
        <w:tc>
          <w:tcPr>
            <w:tcW w:w="5522" w:type="dxa"/>
            <w:shd w:val="clear" w:color="auto" w:fill="auto"/>
            <w:vAlign w:val="center"/>
            <w:hideMark/>
          </w:tcPr>
          <w:p w14:paraId="37477E5A" w14:textId="2E70BF24"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改造使用</w:t>
            </w:r>
            <w:r w:rsidRPr="00495B1B">
              <w:rPr>
                <w:rFonts w:ascii="Calibri" w:eastAsia="Times New Roman" w:hAnsi="Calibri" w:cs="Calibri"/>
                <w:color w:val="000000"/>
                <w:lang w:bidi="ar-SA"/>
              </w:rPr>
              <w:t>RB16</w:t>
            </w:r>
            <w:r w:rsidRPr="00495B1B">
              <w:rPr>
                <w:rFonts w:ascii="微软雅黑" w:eastAsia="微软雅黑" w:hAnsi="微软雅黑" w:cs="微软雅黑"/>
                <w:color w:val="000000"/>
                <w:lang w:bidi="ar-SA"/>
              </w:rPr>
              <w:t>系统，安装紧急排风</w:t>
            </w:r>
            <w:r w:rsidR="00B8714F">
              <w:rPr>
                <w:rFonts w:ascii="微软雅黑" w:eastAsia="微软雅黑" w:hAnsi="微软雅黑" w:cs="微软雅黑" w:hint="eastAsia"/>
                <w:color w:val="000000"/>
                <w:lang w:bidi="ar-SA"/>
              </w:rPr>
              <w:t>、补风</w:t>
            </w:r>
            <w:r w:rsidRPr="00495B1B">
              <w:rPr>
                <w:rFonts w:ascii="微软雅黑" w:eastAsia="微软雅黑" w:hAnsi="微软雅黑" w:cs="微软雅黑"/>
                <w:color w:val="000000"/>
                <w:lang w:bidi="ar-SA"/>
              </w:rPr>
              <w:t>及泄压装置</w:t>
            </w:r>
          </w:p>
        </w:tc>
      </w:tr>
      <w:tr w:rsidR="00495B1B" w:rsidRPr="00495B1B" w14:paraId="205C32B3" w14:textId="77777777" w:rsidTr="00B8714F">
        <w:trPr>
          <w:trHeight w:val="288"/>
        </w:trPr>
        <w:tc>
          <w:tcPr>
            <w:tcW w:w="920" w:type="dxa"/>
            <w:shd w:val="clear" w:color="auto" w:fill="auto"/>
            <w:noWrap/>
            <w:vAlign w:val="center"/>
            <w:hideMark/>
          </w:tcPr>
          <w:p w14:paraId="0B769E47"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微软雅黑" w:eastAsia="微软雅黑" w:hAnsi="微软雅黑" w:cs="微软雅黑"/>
                <w:color w:val="000000"/>
                <w:lang w:bidi="ar-SA"/>
              </w:rPr>
              <w:t>改造</w:t>
            </w:r>
          </w:p>
        </w:tc>
        <w:tc>
          <w:tcPr>
            <w:tcW w:w="2200" w:type="dxa"/>
            <w:shd w:val="clear" w:color="auto" w:fill="auto"/>
            <w:vAlign w:val="center"/>
            <w:hideMark/>
          </w:tcPr>
          <w:p w14:paraId="60A2AE6E" w14:textId="77777777" w:rsidR="00495B1B" w:rsidRPr="00495B1B" w:rsidRDefault="00495B1B" w:rsidP="00495B1B">
            <w:pPr>
              <w:spacing w:after="0" w:line="240" w:lineRule="auto"/>
              <w:jc w:val="center"/>
              <w:rPr>
                <w:rFonts w:ascii="Calibri" w:eastAsia="Times New Roman" w:hAnsi="Calibri" w:cs="Calibri"/>
                <w:color w:val="000000"/>
                <w:lang w:bidi="ar-SA"/>
              </w:rPr>
            </w:pPr>
            <w:r w:rsidRPr="00495B1B">
              <w:rPr>
                <w:rFonts w:ascii="Calibri" w:eastAsia="Times New Roman" w:hAnsi="Calibri" w:cs="Calibri"/>
                <w:color w:val="000000"/>
                <w:lang w:bidi="ar-SA"/>
              </w:rPr>
              <w:t>RB07-SIMS lab</w:t>
            </w:r>
          </w:p>
        </w:tc>
        <w:tc>
          <w:tcPr>
            <w:tcW w:w="5522" w:type="dxa"/>
            <w:shd w:val="clear" w:color="auto" w:fill="auto"/>
            <w:vAlign w:val="center"/>
            <w:hideMark/>
          </w:tcPr>
          <w:p w14:paraId="5C0AAB58" w14:textId="5A249AC3" w:rsidR="00495B1B" w:rsidRPr="00495B1B" w:rsidRDefault="00495B1B" w:rsidP="00495B1B">
            <w:pPr>
              <w:spacing w:after="0" w:line="240" w:lineRule="auto"/>
              <w:rPr>
                <w:rFonts w:ascii="Calibri" w:eastAsia="Times New Roman" w:hAnsi="Calibri" w:cs="Calibri"/>
                <w:color w:val="000000"/>
                <w:lang w:bidi="ar-SA"/>
              </w:rPr>
            </w:pPr>
            <w:r w:rsidRPr="00495B1B">
              <w:rPr>
                <w:rFonts w:ascii="微软雅黑" w:eastAsia="微软雅黑" w:hAnsi="微软雅黑" w:cs="微软雅黑"/>
                <w:color w:val="000000"/>
                <w:lang w:bidi="ar-SA"/>
              </w:rPr>
              <w:t>改造使用</w:t>
            </w:r>
            <w:r w:rsidRPr="00495B1B">
              <w:rPr>
                <w:rFonts w:ascii="Calibri" w:eastAsia="Times New Roman" w:hAnsi="Calibri" w:cs="Calibri"/>
                <w:color w:val="000000"/>
                <w:lang w:bidi="ar-SA"/>
              </w:rPr>
              <w:t>RB04</w:t>
            </w:r>
            <w:r w:rsidRPr="00495B1B">
              <w:rPr>
                <w:rFonts w:ascii="微软雅黑" w:eastAsia="微软雅黑" w:hAnsi="微软雅黑" w:cs="微软雅黑"/>
                <w:color w:val="000000"/>
                <w:lang w:bidi="ar-SA"/>
              </w:rPr>
              <w:t>系统，安装紧急排风</w:t>
            </w:r>
            <w:r w:rsidR="00B8714F">
              <w:rPr>
                <w:rFonts w:ascii="微软雅黑" w:eastAsia="微软雅黑" w:hAnsi="微软雅黑" w:cs="微软雅黑" w:hint="eastAsia"/>
                <w:color w:val="000000"/>
                <w:lang w:bidi="ar-SA"/>
              </w:rPr>
              <w:t>、补风</w:t>
            </w:r>
            <w:r w:rsidRPr="00495B1B">
              <w:rPr>
                <w:rFonts w:ascii="微软雅黑" w:eastAsia="微软雅黑" w:hAnsi="微软雅黑" w:cs="微软雅黑"/>
                <w:color w:val="000000"/>
                <w:lang w:bidi="ar-SA"/>
              </w:rPr>
              <w:t>及泄压装置</w:t>
            </w:r>
          </w:p>
        </w:tc>
      </w:tr>
    </w:tbl>
    <w:p w14:paraId="40547252" w14:textId="5709FCFF" w:rsidR="00495B1B" w:rsidRDefault="00495B1B" w:rsidP="00495B1B"/>
    <w:p w14:paraId="353B9582" w14:textId="0471EEEE" w:rsidR="00495B1B" w:rsidRDefault="00990621" w:rsidP="00495B1B">
      <w:r>
        <w:rPr>
          <w:rFonts w:hint="eastAsia"/>
        </w:rPr>
        <w:t>施工单位需要负责提供相关方案，包括工程量清单外所有涉及的深化及施工内容。</w:t>
      </w:r>
      <w:r w:rsidR="00B8714F">
        <w:rPr>
          <w:rFonts w:hint="eastAsia"/>
        </w:rPr>
        <w:t>其中，除了</w:t>
      </w:r>
      <w:r w:rsidR="00B8714F">
        <w:t>RB06/RB07</w:t>
      </w:r>
      <w:r w:rsidR="00B8714F">
        <w:rPr>
          <w:rFonts w:hint="eastAsia"/>
        </w:rPr>
        <w:t>外其他房间系统仅针对控制模块进行整改，不涉及应急排风、补风及泄压装置改造，不涉及对墙体及装饰面改造。</w:t>
      </w:r>
      <w:r w:rsidR="00B8714F">
        <w:t>RB06</w:t>
      </w:r>
      <w:r w:rsidR="00B8714F">
        <w:rPr>
          <w:rFonts w:hint="eastAsia"/>
        </w:rPr>
        <w:t>及</w:t>
      </w:r>
      <w:r w:rsidR="00B8714F">
        <w:t>RB07</w:t>
      </w:r>
      <w:r w:rsidR="00B8714F">
        <w:rPr>
          <w:rFonts w:hint="eastAsia"/>
        </w:rPr>
        <w:t>需要关闭原有房间</w:t>
      </w:r>
      <w:r w:rsidR="00574372">
        <w:rPr>
          <w:rFonts w:hint="eastAsia"/>
        </w:rPr>
        <w:t>水喷淋系统，并安装气体灭火系统及应急排风、补风和泄压装置。</w:t>
      </w:r>
    </w:p>
    <w:p w14:paraId="4AD20FD2" w14:textId="1474E7DC" w:rsidR="00574372" w:rsidRDefault="00574372" w:rsidP="00574372">
      <w:pPr>
        <w:pStyle w:val="Heading2"/>
      </w:pPr>
      <w:r>
        <w:rPr>
          <w:rFonts w:hint="eastAsia"/>
        </w:rPr>
        <w:t>三、合格标准</w:t>
      </w:r>
    </w:p>
    <w:p w14:paraId="63EFA408" w14:textId="70129F00" w:rsidR="00574372" w:rsidRDefault="00574372" w:rsidP="00574372">
      <w:r>
        <w:rPr>
          <w:rFonts w:hint="eastAsia"/>
        </w:rPr>
        <w:t>改造后工程范围内房间满足消防标准，符合</w:t>
      </w:r>
      <w:proofErr w:type="gramStart"/>
      <w:r>
        <w:rPr>
          <w:rFonts w:hint="eastAsia"/>
        </w:rPr>
        <w:t>学校消防</w:t>
      </w:r>
      <w:proofErr w:type="gramEnd"/>
      <w:r>
        <w:rPr>
          <w:rFonts w:hint="eastAsia"/>
        </w:rPr>
        <w:t>部门、安全部门的管理要求。</w:t>
      </w:r>
    </w:p>
    <w:p w14:paraId="03CE7D68" w14:textId="21E7C39B" w:rsidR="00574372" w:rsidRDefault="00990621" w:rsidP="00990621">
      <w:pPr>
        <w:pStyle w:val="Heading2"/>
      </w:pPr>
      <w:r>
        <w:rPr>
          <w:rFonts w:hint="eastAsia"/>
        </w:rPr>
        <w:t>四、工期要求</w:t>
      </w:r>
    </w:p>
    <w:p w14:paraId="5347CC0D" w14:textId="79331BF8" w:rsidR="00990621" w:rsidRDefault="00990621" w:rsidP="00990621">
      <w:r>
        <w:rPr>
          <w:rFonts w:hint="eastAsia"/>
        </w:rPr>
        <w:t>工期为五十日历日。</w:t>
      </w:r>
    </w:p>
    <w:p w14:paraId="38C4EECF" w14:textId="5C6F8AD6" w:rsidR="00990621" w:rsidRDefault="00990621" w:rsidP="00990621">
      <w:pPr>
        <w:pStyle w:val="Heading2"/>
      </w:pPr>
      <w:r>
        <w:rPr>
          <w:rFonts w:hint="eastAsia"/>
        </w:rPr>
        <w:t>五、</w:t>
      </w:r>
      <w:r w:rsidR="007070CC">
        <w:rPr>
          <w:rFonts w:hint="eastAsia"/>
        </w:rPr>
        <w:t>招</w:t>
      </w:r>
      <w:r>
        <w:rPr>
          <w:rFonts w:hint="eastAsia"/>
        </w:rPr>
        <w:t>标控制价</w:t>
      </w:r>
    </w:p>
    <w:p w14:paraId="032F9DF4" w14:textId="7EF877B5" w:rsidR="00990621" w:rsidRPr="00D942A4" w:rsidRDefault="00D942A4" w:rsidP="00990621">
      <w:r>
        <w:rPr>
          <w:rFonts w:hint="eastAsia"/>
        </w:rPr>
        <w:t>招标控制价为</w:t>
      </w:r>
      <w:r>
        <w:t>249621</w:t>
      </w:r>
      <w:r>
        <w:rPr>
          <w:rFonts w:hint="eastAsia"/>
        </w:rPr>
        <w:t>.6</w:t>
      </w:r>
      <w:r>
        <w:t>3</w:t>
      </w:r>
      <w:r w:rsidR="005D379F">
        <w:rPr>
          <w:rFonts w:hint="eastAsia"/>
        </w:rPr>
        <w:t>元</w:t>
      </w:r>
      <w:r>
        <w:rPr>
          <w:rFonts w:hint="eastAsia"/>
        </w:rPr>
        <w:t>，其中暂列金额为</w:t>
      </w:r>
      <w:r>
        <w:rPr>
          <w:rFonts w:hint="eastAsia"/>
        </w:rPr>
        <w:t>6</w:t>
      </w:r>
      <w:r>
        <w:t>026.93</w:t>
      </w:r>
      <w:r w:rsidR="005D379F">
        <w:rPr>
          <w:rFonts w:hint="eastAsia"/>
        </w:rPr>
        <w:t>元</w:t>
      </w:r>
      <w:bookmarkStart w:id="0" w:name="_GoBack"/>
      <w:bookmarkEnd w:id="0"/>
    </w:p>
    <w:p w14:paraId="64C807B1" w14:textId="29B13054" w:rsidR="009B4A5D" w:rsidRDefault="009B4A5D" w:rsidP="009B4A5D">
      <w:pPr>
        <w:pStyle w:val="Heading2"/>
      </w:pPr>
      <w:r>
        <w:rPr>
          <w:rFonts w:hint="eastAsia"/>
        </w:rPr>
        <w:t>六、供应商要求</w:t>
      </w:r>
    </w:p>
    <w:p w14:paraId="50CC200C" w14:textId="62628B47" w:rsidR="00990621" w:rsidRDefault="00305B79" w:rsidP="00990621">
      <w:r>
        <w:rPr>
          <w:rFonts w:hint="eastAsia"/>
        </w:rPr>
        <w:t>具备相关消防安防系统安装资格。</w:t>
      </w:r>
    </w:p>
    <w:p w14:paraId="7A6A9813" w14:textId="66590FC1" w:rsidR="00305B79" w:rsidRDefault="00305B79" w:rsidP="00990621"/>
    <w:p w14:paraId="01BE4CE3" w14:textId="7C9857E9" w:rsidR="00305B79" w:rsidRDefault="00305B79" w:rsidP="00990621"/>
    <w:p w14:paraId="7B716F5E" w14:textId="19678F09" w:rsidR="00305B79" w:rsidRDefault="00305B79" w:rsidP="00305B79">
      <w:pPr>
        <w:pStyle w:val="Heading2"/>
      </w:pPr>
      <w:r>
        <w:rPr>
          <w:rFonts w:hint="eastAsia"/>
        </w:rPr>
        <w:lastRenderedPageBreak/>
        <w:t>七、评分标准</w:t>
      </w:r>
    </w:p>
    <w:p w14:paraId="34E702BE" w14:textId="16687D01" w:rsidR="00AE4E37" w:rsidRDefault="00AE4E37" w:rsidP="00AE4E37">
      <w:r>
        <w:t>1</w:t>
      </w:r>
      <w:r>
        <w:rPr>
          <w:rFonts w:hint="eastAsia"/>
        </w:rPr>
        <w:t>、价格评分</w:t>
      </w:r>
      <w:r w:rsidR="00DC4403">
        <w:rPr>
          <w:rFonts w:hint="eastAsia"/>
        </w:rPr>
        <w:t>：</w:t>
      </w:r>
      <w:r w:rsidR="00DC4403">
        <w:t>30</w:t>
      </w:r>
      <w:r w:rsidR="00DC4403">
        <w:rPr>
          <w:rFonts w:hint="eastAsia"/>
        </w:rPr>
        <w:t>分</w:t>
      </w:r>
    </w:p>
    <w:p w14:paraId="3D56CC4D" w14:textId="77777777" w:rsidR="00DC4403" w:rsidRDefault="00DC4403" w:rsidP="00DC4403">
      <w:r>
        <w:rPr>
          <w:rFonts w:hint="eastAsia"/>
        </w:rPr>
        <w:t>投标报价得分</w:t>
      </w:r>
      <w:r>
        <w:rPr>
          <w:rFonts w:hint="eastAsia"/>
        </w:rPr>
        <w:t>=</w:t>
      </w:r>
      <w:r>
        <w:rPr>
          <w:rFonts w:hint="eastAsia"/>
        </w:rPr>
        <w:t>（评标基准价</w:t>
      </w:r>
      <w:r>
        <w:rPr>
          <w:rFonts w:hint="eastAsia"/>
        </w:rPr>
        <w:t>/</w:t>
      </w:r>
      <w:r>
        <w:rPr>
          <w:rFonts w:hint="eastAsia"/>
        </w:rPr>
        <w:t>投标报价）×</w:t>
      </w:r>
      <w:proofErr w:type="gramStart"/>
      <w:r>
        <w:rPr>
          <w:rFonts w:hint="eastAsia"/>
        </w:rPr>
        <w:t>价格权</w:t>
      </w:r>
      <w:proofErr w:type="gramEnd"/>
      <w:r>
        <w:rPr>
          <w:rFonts w:hint="eastAsia"/>
        </w:rPr>
        <w:t>值×</w:t>
      </w:r>
      <w:r>
        <w:rPr>
          <w:rFonts w:hint="eastAsia"/>
        </w:rPr>
        <w:t>100%</w:t>
      </w:r>
      <w:r>
        <w:rPr>
          <w:rFonts w:hint="eastAsia"/>
        </w:rPr>
        <w:t>。</w:t>
      </w:r>
      <w:r>
        <w:rPr>
          <w:rFonts w:hint="eastAsia"/>
        </w:rPr>
        <w:t xml:space="preserve"> </w:t>
      </w:r>
    </w:p>
    <w:p w14:paraId="248DDA36" w14:textId="45E87D90" w:rsidR="00DC4403" w:rsidRPr="00DC4403" w:rsidRDefault="00DC4403" w:rsidP="00DC4403">
      <w:r>
        <w:rPr>
          <w:rFonts w:hint="eastAsia"/>
        </w:rPr>
        <w:t>价格分计算方法：满足招标文件要求且投标价格最低的投标报价（小型，微型</w:t>
      </w:r>
      <w:proofErr w:type="gramStart"/>
      <w:r>
        <w:rPr>
          <w:rFonts w:hint="eastAsia"/>
        </w:rPr>
        <w:t>企业按折后</w:t>
      </w:r>
      <w:proofErr w:type="gramEnd"/>
      <w:r>
        <w:rPr>
          <w:rFonts w:hint="eastAsia"/>
        </w:rPr>
        <w:t>价格为准）为评标基准价，其价格分为满分。</w:t>
      </w:r>
    </w:p>
    <w:p w14:paraId="49918DE3" w14:textId="61721F08" w:rsidR="00DC4403" w:rsidRPr="00DC4403" w:rsidRDefault="00DC4403" w:rsidP="00AE4E37">
      <w:r>
        <w:t>2</w:t>
      </w:r>
      <w:r>
        <w:rPr>
          <w:rFonts w:hint="eastAsia"/>
        </w:rPr>
        <w:t>、商务技术评分：</w:t>
      </w:r>
      <w:r>
        <w:t>70</w:t>
      </w:r>
      <w:r>
        <w:rPr>
          <w:rFonts w:hint="eastAsia"/>
        </w:rPr>
        <w:t>分</w:t>
      </w:r>
    </w:p>
    <w:p w14:paraId="749D3A6C" w14:textId="2F60062C" w:rsidR="00305B79" w:rsidRDefault="00305B79" w:rsidP="00990621"/>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081"/>
        <w:gridCol w:w="7455"/>
        <w:gridCol w:w="690"/>
      </w:tblGrid>
      <w:tr w:rsidR="003F3F6B" w14:paraId="5A74552F" w14:textId="77777777" w:rsidTr="002D1CBC">
        <w:trPr>
          <w:cantSplit/>
          <w:trHeight w:val="655"/>
          <w:tblHeader/>
          <w:jc w:val="center"/>
        </w:trPr>
        <w:tc>
          <w:tcPr>
            <w:tcW w:w="589" w:type="dxa"/>
            <w:vAlign w:val="center"/>
          </w:tcPr>
          <w:p w14:paraId="5AACFF4C" w14:textId="77777777" w:rsidR="003F3F6B" w:rsidRDefault="003F3F6B" w:rsidP="002D1CBC">
            <w:pPr>
              <w:jc w:val="center"/>
              <w:rPr>
                <w:rFonts w:ascii="宋体" w:hAnsi="宋体" w:cs="Arial"/>
                <w:b/>
                <w:bCs/>
                <w:sz w:val="20"/>
                <w:szCs w:val="20"/>
              </w:rPr>
            </w:pPr>
            <w:r>
              <w:rPr>
                <w:rFonts w:ascii="宋体" w:hAnsi="宋体" w:cs="Arial" w:hint="eastAsia"/>
                <w:b/>
                <w:bCs/>
                <w:sz w:val="20"/>
                <w:szCs w:val="20"/>
              </w:rPr>
              <w:t>序号</w:t>
            </w:r>
          </w:p>
        </w:tc>
        <w:tc>
          <w:tcPr>
            <w:tcW w:w="1081" w:type="dxa"/>
            <w:vAlign w:val="center"/>
          </w:tcPr>
          <w:p w14:paraId="39CAFE6C" w14:textId="77777777" w:rsidR="003F3F6B" w:rsidRDefault="003F3F6B" w:rsidP="002D1CBC">
            <w:pPr>
              <w:jc w:val="center"/>
              <w:rPr>
                <w:rFonts w:ascii="宋体" w:hAnsi="宋体" w:cs="Arial"/>
                <w:b/>
                <w:bCs/>
                <w:sz w:val="20"/>
                <w:szCs w:val="20"/>
              </w:rPr>
            </w:pPr>
            <w:r>
              <w:rPr>
                <w:rFonts w:ascii="宋体" w:hAnsi="宋体" w:cs="Arial" w:hint="eastAsia"/>
                <w:b/>
                <w:bCs/>
                <w:sz w:val="20"/>
                <w:szCs w:val="20"/>
              </w:rPr>
              <w:t>评审项目</w:t>
            </w:r>
          </w:p>
        </w:tc>
        <w:tc>
          <w:tcPr>
            <w:tcW w:w="7455" w:type="dxa"/>
            <w:vAlign w:val="center"/>
          </w:tcPr>
          <w:p w14:paraId="3B8F39B8" w14:textId="77777777" w:rsidR="003F3F6B" w:rsidRDefault="003F3F6B" w:rsidP="002D1CBC">
            <w:pPr>
              <w:jc w:val="center"/>
              <w:rPr>
                <w:rFonts w:ascii="宋体" w:hAnsi="宋体" w:cs="Arial"/>
                <w:b/>
                <w:bCs/>
                <w:sz w:val="20"/>
                <w:szCs w:val="20"/>
              </w:rPr>
            </w:pPr>
            <w:r>
              <w:rPr>
                <w:rFonts w:ascii="宋体" w:hAnsi="宋体" w:cs="Arial" w:hint="eastAsia"/>
                <w:b/>
                <w:bCs/>
                <w:sz w:val="20"/>
                <w:szCs w:val="20"/>
              </w:rPr>
              <w:t>评分范围</w:t>
            </w:r>
          </w:p>
        </w:tc>
        <w:tc>
          <w:tcPr>
            <w:tcW w:w="690" w:type="dxa"/>
            <w:vAlign w:val="center"/>
          </w:tcPr>
          <w:p w14:paraId="00A62270" w14:textId="77777777" w:rsidR="003F3F6B" w:rsidRDefault="003F3F6B" w:rsidP="002D1CBC">
            <w:pPr>
              <w:jc w:val="center"/>
              <w:rPr>
                <w:rFonts w:ascii="宋体" w:hAnsi="宋体" w:cs="Arial"/>
                <w:b/>
                <w:bCs/>
                <w:sz w:val="20"/>
                <w:szCs w:val="20"/>
              </w:rPr>
            </w:pPr>
            <w:r>
              <w:rPr>
                <w:rFonts w:ascii="宋体" w:hAnsi="宋体" w:cs="Arial" w:hint="eastAsia"/>
                <w:b/>
                <w:bCs/>
                <w:sz w:val="20"/>
                <w:szCs w:val="20"/>
              </w:rPr>
              <w:t>单项</w:t>
            </w:r>
          </w:p>
          <w:p w14:paraId="0083C6F5" w14:textId="77777777" w:rsidR="003F3F6B" w:rsidRDefault="003F3F6B" w:rsidP="002D1CBC">
            <w:pPr>
              <w:jc w:val="center"/>
              <w:rPr>
                <w:rFonts w:ascii="宋体" w:hAnsi="宋体" w:cs="Arial"/>
                <w:b/>
                <w:bCs/>
                <w:sz w:val="20"/>
                <w:szCs w:val="20"/>
              </w:rPr>
            </w:pPr>
            <w:r>
              <w:rPr>
                <w:rFonts w:ascii="宋体" w:hAnsi="宋体" w:cs="Arial" w:hint="eastAsia"/>
                <w:b/>
                <w:bCs/>
                <w:sz w:val="20"/>
                <w:szCs w:val="20"/>
              </w:rPr>
              <w:t>分值</w:t>
            </w:r>
          </w:p>
        </w:tc>
      </w:tr>
      <w:tr w:rsidR="003F3F6B" w14:paraId="5937D308" w14:textId="77777777" w:rsidTr="002D1CBC">
        <w:trPr>
          <w:cantSplit/>
          <w:trHeight w:val="680"/>
          <w:jc w:val="center"/>
        </w:trPr>
        <w:tc>
          <w:tcPr>
            <w:tcW w:w="589" w:type="dxa"/>
            <w:vAlign w:val="center"/>
          </w:tcPr>
          <w:p w14:paraId="3BF4C98C" w14:textId="77777777" w:rsidR="003F3F6B" w:rsidRDefault="003F3F6B" w:rsidP="002D1CBC">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081" w:type="dxa"/>
            <w:vAlign w:val="center"/>
          </w:tcPr>
          <w:p w14:paraId="38E4C671" w14:textId="77777777" w:rsidR="003F3F6B" w:rsidRDefault="003F3F6B" w:rsidP="002D1CBC">
            <w:pPr>
              <w:rPr>
                <w:rFonts w:ascii="宋体" w:eastAsia="宋体" w:hAnsi="宋体" w:cs="宋体"/>
                <w:sz w:val="18"/>
                <w:szCs w:val="18"/>
              </w:rPr>
            </w:pPr>
            <w:r>
              <w:rPr>
                <w:rFonts w:ascii="宋体" w:hAnsi="宋体" w:cs="宋体" w:hint="eastAsia"/>
                <w:color w:val="000000"/>
                <w:sz w:val="18"/>
                <w:szCs w:val="18"/>
              </w:rPr>
              <w:t>施工方案</w:t>
            </w:r>
          </w:p>
        </w:tc>
        <w:tc>
          <w:tcPr>
            <w:tcW w:w="7455" w:type="dxa"/>
            <w:vAlign w:val="center"/>
          </w:tcPr>
          <w:p w14:paraId="3B9DBAF0" w14:textId="6E8578AE" w:rsidR="003F3F6B" w:rsidRPr="000172F5" w:rsidRDefault="003F3F6B" w:rsidP="002D1CBC">
            <w:pPr>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514CAA">
              <w:rPr>
                <w:rFonts w:ascii="宋体" w:hAnsi="宋体" w:cs="宋体" w:hint="eastAsia"/>
                <w:color w:val="000000"/>
                <w:sz w:val="20"/>
                <w:szCs w:val="20"/>
              </w:rPr>
              <w:t>提供勘探现场后提供完整缺陷报告，根据相关缺陷</w:t>
            </w:r>
            <w:r w:rsidRPr="000172F5">
              <w:rPr>
                <w:rFonts w:ascii="宋体" w:hAnsi="宋体" w:cs="宋体" w:hint="eastAsia"/>
                <w:color w:val="000000"/>
                <w:sz w:val="20"/>
                <w:szCs w:val="20"/>
              </w:rPr>
              <w:t>提供完整施工方案，</w:t>
            </w:r>
            <w:r w:rsidR="00514CAA">
              <w:rPr>
                <w:rFonts w:ascii="宋体" w:hAnsi="宋体" w:cs="宋体" w:hint="eastAsia"/>
                <w:color w:val="000000"/>
                <w:sz w:val="20"/>
                <w:szCs w:val="20"/>
              </w:rPr>
              <w:t>现场保护方案</w:t>
            </w:r>
            <w:r w:rsidRPr="000172F5">
              <w:rPr>
                <w:rFonts w:ascii="宋体" w:hAnsi="宋体" w:cs="宋体" w:hint="eastAsia"/>
                <w:color w:val="000000"/>
                <w:sz w:val="20"/>
                <w:szCs w:val="20"/>
              </w:rPr>
              <w:t>。根据提供资料完善程度评审：</w:t>
            </w:r>
          </w:p>
          <w:p w14:paraId="2D195385" w14:textId="0222A300" w:rsidR="003F3F6B" w:rsidRPr="00C11552" w:rsidRDefault="003F3F6B" w:rsidP="003F3F6B">
            <w:pPr>
              <w:pStyle w:val="ListParagraph"/>
              <w:numPr>
                <w:ilvl w:val="0"/>
                <w:numId w:val="1"/>
              </w:numPr>
              <w:jc w:val="left"/>
              <w:rPr>
                <w:rFonts w:ascii="宋体" w:hAnsi="宋体" w:cs="宋体"/>
                <w:color w:val="000000"/>
                <w:sz w:val="20"/>
                <w:szCs w:val="20"/>
              </w:rPr>
            </w:pPr>
            <w:r w:rsidRPr="00C11552">
              <w:rPr>
                <w:rFonts w:ascii="宋体" w:hAnsi="宋体" w:cs="宋体" w:hint="eastAsia"/>
                <w:color w:val="000000"/>
                <w:sz w:val="20"/>
                <w:szCs w:val="20"/>
              </w:rPr>
              <w:t>总体思路清晰明确，可操作性强的，得</w:t>
            </w:r>
            <w:r w:rsidR="0098411B">
              <w:rPr>
                <w:rFonts w:ascii="宋体" w:hAnsi="宋体" w:cs="宋体"/>
                <w:color w:val="000000"/>
                <w:sz w:val="20"/>
                <w:szCs w:val="20"/>
              </w:rPr>
              <w:t>11-20</w:t>
            </w:r>
            <w:r w:rsidRPr="00C11552">
              <w:rPr>
                <w:rFonts w:ascii="宋体" w:hAnsi="宋体" w:cs="宋体" w:hint="eastAsia"/>
                <w:color w:val="000000"/>
                <w:sz w:val="20"/>
                <w:szCs w:val="20"/>
              </w:rPr>
              <w:t>分；</w:t>
            </w:r>
          </w:p>
          <w:p w14:paraId="5728D900" w14:textId="56DA4E6D" w:rsidR="003F3F6B" w:rsidRPr="0098411B" w:rsidRDefault="003F3F6B" w:rsidP="0098411B">
            <w:pPr>
              <w:pStyle w:val="ListParagraph"/>
              <w:numPr>
                <w:ilvl w:val="0"/>
                <w:numId w:val="1"/>
              </w:numPr>
              <w:jc w:val="left"/>
              <w:rPr>
                <w:rFonts w:ascii="宋体" w:hAnsi="宋体" w:cs="宋体"/>
                <w:color w:val="000000"/>
                <w:sz w:val="20"/>
                <w:szCs w:val="20"/>
              </w:rPr>
            </w:pPr>
            <w:r w:rsidRPr="00C11552">
              <w:rPr>
                <w:rFonts w:ascii="宋体" w:hAnsi="宋体" w:cs="宋体" w:hint="eastAsia"/>
                <w:color w:val="000000"/>
                <w:sz w:val="20"/>
                <w:szCs w:val="20"/>
              </w:rPr>
              <w:t>总体思路一般，可操作性一般的，得</w:t>
            </w:r>
            <w:r w:rsidR="0098411B">
              <w:rPr>
                <w:rFonts w:ascii="宋体" w:hAnsi="宋体" w:cs="宋体"/>
                <w:color w:val="000000"/>
                <w:sz w:val="20"/>
                <w:szCs w:val="20"/>
              </w:rPr>
              <w:t>1-10</w:t>
            </w:r>
            <w:r w:rsidRPr="00C11552">
              <w:rPr>
                <w:rFonts w:ascii="宋体" w:hAnsi="宋体" w:cs="宋体" w:hint="eastAsia"/>
                <w:color w:val="000000"/>
                <w:sz w:val="20"/>
                <w:szCs w:val="20"/>
              </w:rPr>
              <w:t>分；</w:t>
            </w:r>
          </w:p>
        </w:tc>
        <w:tc>
          <w:tcPr>
            <w:tcW w:w="690" w:type="dxa"/>
            <w:vAlign w:val="center"/>
          </w:tcPr>
          <w:p w14:paraId="5519C8C3" w14:textId="422C5280" w:rsidR="003F3F6B" w:rsidRPr="00514CAA" w:rsidRDefault="00514CAA" w:rsidP="002D1CBC">
            <w:pPr>
              <w:jc w:val="center"/>
              <w:rPr>
                <w:rFonts w:ascii="宋体" w:hAnsi="宋体"/>
                <w:sz w:val="20"/>
                <w:szCs w:val="20"/>
              </w:rPr>
            </w:pPr>
            <w:r>
              <w:rPr>
                <w:rFonts w:ascii="宋体" w:hAnsi="宋体"/>
                <w:sz w:val="20"/>
                <w:szCs w:val="20"/>
              </w:rPr>
              <w:t>30</w:t>
            </w:r>
          </w:p>
        </w:tc>
      </w:tr>
      <w:tr w:rsidR="003F3F6B" w14:paraId="7607B825" w14:textId="77777777" w:rsidTr="002D1CBC">
        <w:trPr>
          <w:cantSplit/>
          <w:trHeight w:val="1135"/>
          <w:jc w:val="center"/>
        </w:trPr>
        <w:tc>
          <w:tcPr>
            <w:tcW w:w="589" w:type="dxa"/>
            <w:vAlign w:val="center"/>
          </w:tcPr>
          <w:p w14:paraId="4DA7ACDA" w14:textId="77777777" w:rsidR="003F3F6B" w:rsidRDefault="003F3F6B" w:rsidP="002D1CBC">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081" w:type="dxa"/>
            <w:vAlign w:val="center"/>
          </w:tcPr>
          <w:p w14:paraId="349F03F5" w14:textId="77777777" w:rsidR="003F3F6B" w:rsidRDefault="003F3F6B" w:rsidP="002D1CBC">
            <w:pPr>
              <w:rPr>
                <w:rFonts w:ascii="宋体" w:eastAsia="宋体" w:hAnsi="宋体" w:cs="宋体"/>
                <w:color w:val="000000"/>
                <w:sz w:val="18"/>
                <w:szCs w:val="18"/>
              </w:rPr>
            </w:pPr>
            <w:r>
              <w:rPr>
                <w:rFonts w:ascii="宋体" w:eastAsia="宋体" w:hAnsi="宋体" w:cs="宋体" w:hint="eastAsia"/>
                <w:color w:val="000000"/>
                <w:sz w:val="18"/>
                <w:szCs w:val="18"/>
              </w:rPr>
              <w:t>施工组织方案</w:t>
            </w:r>
          </w:p>
        </w:tc>
        <w:tc>
          <w:tcPr>
            <w:tcW w:w="7455" w:type="dxa"/>
            <w:vAlign w:val="center"/>
          </w:tcPr>
          <w:p w14:paraId="0FAF9571" w14:textId="517EB8EF" w:rsidR="003F3F6B" w:rsidRPr="00C11552" w:rsidRDefault="003F3F6B" w:rsidP="0098411B">
            <w:pPr>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Pr="000172F5">
              <w:rPr>
                <w:rFonts w:ascii="宋体" w:hAnsi="宋体" w:cs="宋体" w:hint="eastAsia"/>
                <w:color w:val="000000"/>
                <w:sz w:val="20"/>
                <w:szCs w:val="20"/>
              </w:rPr>
              <w:t>提供完整施工组织架构，人员架构，进度计划，材料进场计划，对重要节点能提供对应的措施等。综合对比进行评审</w:t>
            </w:r>
            <w:r w:rsidR="00514CAA">
              <w:rPr>
                <w:rFonts w:ascii="宋体" w:hAnsi="宋体" w:cs="宋体" w:hint="eastAsia"/>
                <w:color w:val="000000"/>
                <w:sz w:val="20"/>
                <w:szCs w:val="20"/>
              </w:rPr>
              <w:t>。</w:t>
            </w:r>
          </w:p>
        </w:tc>
        <w:tc>
          <w:tcPr>
            <w:tcW w:w="690" w:type="dxa"/>
            <w:vAlign w:val="center"/>
          </w:tcPr>
          <w:p w14:paraId="5E04B7B0" w14:textId="15A0F2F6" w:rsidR="003F3F6B" w:rsidRPr="0098411B" w:rsidRDefault="0098411B" w:rsidP="002D1CBC">
            <w:pPr>
              <w:jc w:val="center"/>
              <w:rPr>
                <w:rFonts w:ascii="宋体" w:hAnsi="宋体"/>
                <w:sz w:val="20"/>
                <w:szCs w:val="20"/>
              </w:rPr>
            </w:pPr>
            <w:r>
              <w:rPr>
                <w:rFonts w:ascii="宋体" w:hAnsi="宋体"/>
                <w:sz w:val="20"/>
                <w:szCs w:val="20"/>
              </w:rPr>
              <w:t>20</w:t>
            </w:r>
          </w:p>
        </w:tc>
      </w:tr>
      <w:tr w:rsidR="0098411B" w14:paraId="6EC8883A" w14:textId="77777777" w:rsidTr="002D1CBC">
        <w:trPr>
          <w:cantSplit/>
          <w:trHeight w:val="780"/>
          <w:jc w:val="center"/>
        </w:trPr>
        <w:tc>
          <w:tcPr>
            <w:tcW w:w="589" w:type="dxa"/>
            <w:vAlign w:val="center"/>
          </w:tcPr>
          <w:p w14:paraId="21306226" w14:textId="1C280E5F" w:rsidR="0098411B" w:rsidRPr="00514CAA" w:rsidRDefault="00514CAA" w:rsidP="002D1CBC">
            <w:pPr>
              <w:snapToGrid w:val="0"/>
              <w:jc w:val="center"/>
              <w:rPr>
                <w:rFonts w:ascii="宋体" w:eastAsia="宋体" w:hAnsi="宋体" w:cs="宋体"/>
                <w:sz w:val="20"/>
                <w:szCs w:val="20"/>
              </w:rPr>
            </w:pPr>
            <w:r>
              <w:rPr>
                <w:rFonts w:ascii="宋体" w:eastAsia="宋体" w:hAnsi="宋体" w:cs="宋体"/>
                <w:sz w:val="20"/>
                <w:szCs w:val="20"/>
              </w:rPr>
              <w:t>3</w:t>
            </w:r>
          </w:p>
        </w:tc>
        <w:tc>
          <w:tcPr>
            <w:tcW w:w="1081" w:type="dxa"/>
            <w:vAlign w:val="center"/>
          </w:tcPr>
          <w:p w14:paraId="58320546" w14:textId="22C9AAE0" w:rsidR="0098411B" w:rsidRDefault="0098411B" w:rsidP="002D1CBC">
            <w:pPr>
              <w:rPr>
                <w:rFonts w:ascii="宋体" w:eastAsia="宋体" w:hAnsi="宋体" w:cs="宋体"/>
                <w:color w:val="000000"/>
                <w:sz w:val="20"/>
                <w:szCs w:val="20"/>
              </w:rPr>
            </w:pPr>
            <w:r>
              <w:rPr>
                <w:rFonts w:ascii="宋体" w:hAnsi="宋体" w:cs="宋体" w:hint="eastAsia"/>
                <w:color w:val="000000"/>
                <w:sz w:val="20"/>
                <w:szCs w:val="20"/>
              </w:rPr>
              <w:t>安装、调试、培训组织措施</w:t>
            </w:r>
          </w:p>
        </w:tc>
        <w:tc>
          <w:tcPr>
            <w:tcW w:w="7455" w:type="dxa"/>
            <w:vAlign w:val="center"/>
          </w:tcPr>
          <w:p w14:paraId="1201347C" w14:textId="5C47E797" w:rsidR="0098411B" w:rsidRPr="0000488A" w:rsidRDefault="0098411B" w:rsidP="002D1CBC">
            <w:pPr>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Pr="000172F5">
              <w:rPr>
                <w:rFonts w:ascii="宋体" w:hAnsi="宋体" w:cs="宋体" w:hint="eastAsia"/>
                <w:color w:val="000000"/>
                <w:sz w:val="20"/>
                <w:szCs w:val="20"/>
              </w:rPr>
              <w:t>安装、调试、培训组织措施合理，综合对比进行评审</w:t>
            </w:r>
            <w:r>
              <w:rPr>
                <w:rFonts w:ascii="宋体" w:hAnsi="宋体" w:cs="宋体" w:hint="eastAsia"/>
                <w:color w:val="000000"/>
                <w:sz w:val="20"/>
                <w:szCs w:val="20"/>
              </w:rPr>
              <w:t>。</w:t>
            </w:r>
          </w:p>
        </w:tc>
        <w:tc>
          <w:tcPr>
            <w:tcW w:w="690" w:type="dxa"/>
            <w:vAlign w:val="center"/>
          </w:tcPr>
          <w:p w14:paraId="53473BA8" w14:textId="1D6C8EC7" w:rsidR="0098411B" w:rsidRPr="00514CAA" w:rsidRDefault="00514CAA" w:rsidP="002D1CBC">
            <w:pPr>
              <w:jc w:val="center"/>
              <w:rPr>
                <w:rFonts w:ascii="宋体" w:hAnsi="宋体"/>
                <w:sz w:val="20"/>
                <w:szCs w:val="20"/>
              </w:rPr>
            </w:pPr>
            <w:r>
              <w:rPr>
                <w:rFonts w:ascii="宋体" w:hAnsi="宋体"/>
                <w:sz w:val="20"/>
                <w:szCs w:val="20"/>
              </w:rPr>
              <w:t>10</w:t>
            </w:r>
          </w:p>
        </w:tc>
      </w:tr>
      <w:tr w:rsidR="0098411B" w14:paraId="2D3D30BC" w14:textId="77777777" w:rsidTr="002D1CBC">
        <w:trPr>
          <w:cantSplit/>
          <w:trHeight w:val="1135"/>
          <w:jc w:val="center"/>
        </w:trPr>
        <w:tc>
          <w:tcPr>
            <w:tcW w:w="589" w:type="dxa"/>
            <w:vAlign w:val="center"/>
          </w:tcPr>
          <w:p w14:paraId="1E1EFE00" w14:textId="13022F4D" w:rsidR="0098411B" w:rsidRPr="00514CAA" w:rsidRDefault="00514CAA" w:rsidP="002D1CBC">
            <w:pPr>
              <w:snapToGrid w:val="0"/>
              <w:jc w:val="center"/>
              <w:rPr>
                <w:rFonts w:ascii="宋体" w:eastAsia="宋体" w:hAnsi="宋体" w:cs="宋体"/>
                <w:sz w:val="20"/>
                <w:szCs w:val="20"/>
              </w:rPr>
            </w:pPr>
            <w:r>
              <w:rPr>
                <w:rFonts w:ascii="宋体" w:eastAsia="宋体" w:hAnsi="宋体" w:cs="宋体"/>
                <w:sz w:val="20"/>
                <w:szCs w:val="20"/>
              </w:rPr>
              <w:t>4</w:t>
            </w:r>
          </w:p>
        </w:tc>
        <w:tc>
          <w:tcPr>
            <w:tcW w:w="1081" w:type="dxa"/>
            <w:vAlign w:val="center"/>
          </w:tcPr>
          <w:p w14:paraId="26031341" w14:textId="51309FB0" w:rsidR="0098411B" w:rsidRDefault="0098411B" w:rsidP="002D1CBC">
            <w:pPr>
              <w:rPr>
                <w:rFonts w:ascii="宋体" w:eastAsia="宋体" w:hAnsi="宋体" w:cs="宋体"/>
                <w:color w:val="000000"/>
                <w:sz w:val="20"/>
                <w:szCs w:val="20"/>
                <w:highlight w:val="yellow"/>
              </w:rPr>
            </w:pPr>
            <w:r>
              <w:rPr>
                <w:rFonts w:ascii="宋体" w:hAnsi="宋体" w:cs="宋体" w:hint="eastAsia"/>
                <w:color w:val="000000"/>
                <w:sz w:val="20"/>
                <w:szCs w:val="20"/>
              </w:rPr>
              <w:t>售后服务方案</w:t>
            </w:r>
          </w:p>
        </w:tc>
        <w:tc>
          <w:tcPr>
            <w:tcW w:w="7455" w:type="dxa"/>
            <w:vAlign w:val="center"/>
          </w:tcPr>
          <w:p w14:paraId="5F066281" w14:textId="0DB41B0F" w:rsidR="0098411B" w:rsidRPr="0000488A" w:rsidRDefault="0098411B" w:rsidP="0098411B">
            <w:pPr>
              <w:rPr>
                <w:rFonts w:ascii="宋体" w:eastAsia="宋体" w:hAnsi="宋体" w:cs="宋体"/>
                <w:color w:val="000000"/>
                <w:sz w:val="18"/>
                <w:szCs w:val="18"/>
              </w:rPr>
            </w:pPr>
            <w:r>
              <w:rPr>
                <w:rFonts w:ascii="宋体" w:hAnsi="宋体" w:cs="宋体" w:hint="eastAsia"/>
                <w:color w:val="000000"/>
                <w:sz w:val="20"/>
                <w:szCs w:val="20"/>
              </w:rPr>
              <w:t xml:space="preserve"> </w:t>
            </w:r>
            <w:r>
              <w:rPr>
                <w:rFonts w:ascii="宋体" w:hAnsi="宋体" w:cs="宋体"/>
                <w:color w:val="000000"/>
                <w:sz w:val="20"/>
                <w:szCs w:val="20"/>
              </w:rPr>
              <w:t xml:space="preserve">   </w:t>
            </w:r>
            <w:r w:rsidR="00514CAA">
              <w:rPr>
                <w:rFonts w:ascii="宋体" w:hAnsi="宋体" w:cs="宋体" w:hint="eastAsia"/>
                <w:color w:val="000000"/>
                <w:sz w:val="20"/>
                <w:szCs w:val="20"/>
              </w:rPr>
              <w:t>提供</w:t>
            </w:r>
            <w:r w:rsidRPr="000172F5">
              <w:rPr>
                <w:rFonts w:ascii="宋体" w:hAnsi="宋体" w:cs="宋体" w:hint="eastAsia"/>
                <w:color w:val="000000"/>
                <w:sz w:val="20"/>
                <w:szCs w:val="20"/>
              </w:rPr>
              <w:t>对</w:t>
            </w:r>
            <w:r w:rsidR="00514CAA">
              <w:rPr>
                <w:rFonts w:ascii="宋体" w:hAnsi="宋体" w:cs="宋体" w:hint="eastAsia"/>
                <w:color w:val="000000"/>
                <w:sz w:val="20"/>
                <w:szCs w:val="20"/>
              </w:rPr>
              <w:t>项目</w:t>
            </w:r>
            <w:r w:rsidRPr="000172F5">
              <w:rPr>
                <w:rFonts w:ascii="宋体" w:hAnsi="宋体" w:cs="宋体" w:hint="eastAsia"/>
                <w:color w:val="000000"/>
                <w:sz w:val="20"/>
                <w:szCs w:val="20"/>
              </w:rPr>
              <w:t>质保期内质量问题的维修时间、响应时间、承诺的质保期限等综合对比进行评审</w:t>
            </w:r>
            <w:r w:rsidR="00514CAA">
              <w:rPr>
                <w:rFonts w:ascii="宋体" w:hAnsi="宋体" w:cs="宋体" w:hint="eastAsia"/>
                <w:color w:val="000000"/>
                <w:sz w:val="20"/>
                <w:szCs w:val="20"/>
              </w:rPr>
              <w:t>。</w:t>
            </w:r>
          </w:p>
        </w:tc>
        <w:tc>
          <w:tcPr>
            <w:tcW w:w="690" w:type="dxa"/>
            <w:vAlign w:val="center"/>
          </w:tcPr>
          <w:p w14:paraId="12FDCA0E" w14:textId="74729979" w:rsidR="0098411B" w:rsidRPr="00514CAA" w:rsidRDefault="00514CAA" w:rsidP="002D1CBC">
            <w:pPr>
              <w:jc w:val="center"/>
              <w:rPr>
                <w:rFonts w:ascii="宋体" w:hAnsi="宋体"/>
                <w:sz w:val="20"/>
                <w:szCs w:val="20"/>
              </w:rPr>
            </w:pPr>
            <w:r>
              <w:rPr>
                <w:rFonts w:ascii="宋体" w:hAnsi="宋体"/>
                <w:sz w:val="20"/>
                <w:szCs w:val="20"/>
              </w:rPr>
              <w:t>10</w:t>
            </w:r>
          </w:p>
        </w:tc>
      </w:tr>
    </w:tbl>
    <w:p w14:paraId="11D9A0CD" w14:textId="64FA91A4" w:rsidR="00305B79" w:rsidRDefault="00305B79" w:rsidP="00990621"/>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E0B8" w14:textId="77777777" w:rsidR="0045092B" w:rsidRDefault="0045092B" w:rsidP="00EC7CA5">
      <w:pPr>
        <w:spacing w:after="0" w:line="240" w:lineRule="auto"/>
      </w:pPr>
      <w:r>
        <w:separator/>
      </w:r>
    </w:p>
  </w:endnote>
  <w:endnote w:type="continuationSeparator" w:id="0">
    <w:p w14:paraId="15E6136C" w14:textId="77777777" w:rsidR="0045092B" w:rsidRDefault="0045092B"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E9E4" w14:textId="77777777" w:rsidR="0045092B" w:rsidRDefault="0045092B" w:rsidP="00EC7CA5">
      <w:pPr>
        <w:spacing w:after="0" w:line="240" w:lineRule="auto"/>
      </w:pPr>
      <w:r>
        <w:separator/>
      </w:r>
    </w:p>
  </w:footnote>
  <w:footnote w:type="continuationSeparator" w:id="0">
    <w:p w14:paraId="6DEDEEA5" w14:textId="77777777" w:rsidR="0045092B" w:rsidRDefault="0045092B"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537C"/>
    <w:rsid w:val="0013458D"/>
    <w:rsid w:val="0026303E"/>
    <w:rsid w:val="00305B79"/>
    <w:rsid w:val="00372263"/>
    <w:rsid w:val="003F3F6B"/>
    <w:rsid w:val="0045092B"/>
    <w:rsid w:val="00495B1B"/>
    <w:rsid w:val="00507BD6"/>
    <w:rsid w:val="00514CAA"/>
    <w:rsid w:val="00574372"/>
    <w:rsid w:val="005D379F"/>
    <w:rsid w:val="005D688E"/>
    <w:rsid w:val="007070CC"/>
    <w:rsid w:val="007B4C6C"/>
    <w:rsid w:val="008457E9"/>
    <w:rsid w:val="00866926"/>
    <w:rsid w:val="0086761B"/>
    <w:rsid w:val="0098411B"/>
    <w:rsid w:val="00990621"/>
    <w:rsid w:val="009B4A5D"/>
    <w:rsid w:val="00A353EB"/>
    <w:rsid w:val="00AC5A73"/>
    <w:rsid w:val="00AE4E37"/>
    <w:rsid w:val="00B8714F"/>
    <w:rsid w:val="00C0667B"/>
    <w:rsid w:val="00CF313C"/>
    <w:rsid w:val="00D942A4"/>
    <w:rsid w:val="00DC4403"/>
    <w:rsid w:val="00E836A7"/>
    <w:rsid w:val="00EC7CA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Zejie CHEN</cp:lastModifiedBy>
  <cp:revision>6</cp:revision>
  <dcterms:created xsi:type="dcterms:W3CDTF">2022-07-22T00:49:00Z</dcterms:created>
  <dcterms:modified xsi:type="dcterms:W3CDTF">2022-07-25T02:48:00Z</dcterms:modified>
</cp:coreProperties>
</file>